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4DD86EC2" w:rsidR="00E66558" w:rsidRPr="003071F7" w:rsidRDefault="00C11EB4" w:rsidP="003071F7">
      <w:pPr>
        <w:pStyle w:val="Heading1"/>
        <w:jc w:val="center"/>
        <w:rPr>
          <w:szCs w:val="36"/>
        </w:rPr>
      </w:pPr>
      <w:bookmarkStart w:id="0" w:name="_Toc400361362"/>
      <w:bookmarkStart w:id="1" w:name="_Toc443397153"/>
      <w:bookmarkStart w:id="2" w:name="_Toc357771638"/>
      <w:bookmarkStart w:id="3" w:name="_Toc346793416"/>
      <w:bookmarkStart w:id="4" w:name="_Toc328122777"/>
      <w:r w:rsidRPr="003071F7">
        <w:rPr>
          <w:b w:val="0"/>
          <w:bCs/>
          <w:noProof/>
          <w:szCs w:val="36"/>
        </w:rPr>
        <mc:AlternateContent>
          <mc:Choice Requires="wps">
            <w:drawing>
              <wp:anchor distT="0" distB="0" distL="114300" distR="114300" simplePos="0" relativeHeight="251658240" behindDoc="0" locked="0" layoutInCell="1" allowOverlap="1" wp14:anchorId="2A7D54B2" wp14:editId="50189A1B">
                <wp:simplePos x="0" y="0"/>
                <wp:positionH relativeFrom="margin">
                  <wp:posOffset>-1270</wp:posOffset>
                </wp:positionH>
                <wp:positionV relativeFrom="margin">
                  <wp:posOffset>722630</wp:posOffset>
                </wp:positionV>
                <wp:extent cx="6000115" cy="3300095"/>
                <wp:effectExtent l="0" t="0" r="19685" b="14605"/>
                <wp:wrapSquare wrapText="bothSides"/>
                <wp:docPr id="1"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00115" cy="3300095"/>
                        </a:xfrm>
                        <a:prstGeom prst="rect">
                          <a:avLst/>
                        </a:prstGeom>
                        <a:solidFill>
                          <a:srgbClr val="F2F2F2"/>
                        </a:solidFill>
                        <a:ln w="9528">
                          <a:solidFill>
                            <a:srgbClr val="000000"/>
                          </a:solidFill>
                          <a:prstDash val="solid"/>
                        </a:ln>
                      </wps:spPr>
                      <wps:txbx>
                        <w:txbxContent>
                          <w:p w14:paraId="2EED2A16" w14:textId="4FFD1D2E" w:rsidR="00B572C4" w:rsidRPr="008F243B" w:rsidRDefault="00B572C4" w:rsidP="009539E3">
                            <w:pPr>
                              <w:rPr>
                                <w:bCs/>
                                <w:i/>
                                <w:iCs/>
                                <w:color w:val="auto"/>
                              </w:rPr>
                            </w:pPr>
                            <w:r w:rsidRPr="008F243B">
                              <w:rPr>
                                <w:bCs/>
                                <w:i/>
                                <w:iCs/>
                                <w:color w:val="auto"/>
                              </w:rPr>
                              <w:t xml:space="preserve">Before completing this template, </w:t>
                            </w:r>
                            <w:r w:rsidR="00F63E9E" w:rsidRPr="008F243B">
                              <w:rPr>
                                <w:bCs/>
                                <w:i/>
                                <w:iCs/>
                                <w:color w:val="auto"/>
                              </w:rPr>
                              <w:t xml:space="preserve">read </w:t>
                            </w:r>
                            <w:r w:rsidRPr="008F243B">
                              <w:rPr>
                                <w:bCs/>
                                <w:i/>
                                <w:iCs/>
                                <w:color w:val="auto"/>
                              </w:rPr>
                              <w:t>the E</w:t>
                            </w:r>
                            <w:r w:rsidR="00D3578A" w:rsidRPr="008F243B">
                              <w:rPr>
                                <w:bCs/>
                                <w:i/>
                                <w:iCs/>
                                <w:color w:val="auto"/>
                              </w:rPr>
                              <w:t xml:space="preserve">ducation </w:t>
                            </w:r>
                            <w:r w:rsidRPr="008F243B">
                              <w:rPr>
                                <w:bCs/>
                                <w:i/>
                                <w:iCs/>
                                <w:color w:val="auto"/>
                              </w:rPr>
                              <w:t>E</w:t>
                            </w:r>
                            <w:r w:rsidR="00D3578A" w:rsidRPr="008F243B">
                              <w:rPr>
                                <w:bCs/>
                                <w:i/>
                                <w:iCs/>
                                <w:color w:val="auto"/>
                              </w:rPr>
                              <w:t xml:space="preserve">ndowment </w:t>
                            </w:r>
                            <w:r w:rsidRPr="008F243B">
                              <w:rPr>
                                <w:bCs/>
                                <w:i/>
                                <w:iCs/>
                                <w:color w:val="auto"/>
                              </w:rPr>
                              <w:t>F</w:t>
                            </w:r>
                            <w:r w:rsidR="00D3578A" w:rsidRPr="008F243B">
                              <w:rPr>
                                <w:bCs/>
                                <w:i/>
                                <w:iCs/>
                                <w:color w:val="auto"/>
                              </w:rPr>
                              <w:t>oundation’s</w:t>
                            </w:r>
                            <w:r w:rsidRPr="008F243B">
                              <w:rPr>
                                <w:bCs/>
                                <w:i/>
                                <w:iCs/>
                                <w:color w:val="auto"/>
                              </w:rPr>
                              <w:t xml:space="preserve"> guid</w:t>
                            </w:r>
                            <w:r w:rsidR="00BC67F6" w:rsidRPr="008F243B">
                              <w:rPr>
                                <w:bCs/>
                                <w:i/>
                                <w:iCs/>
                                <w:color w:val="auto"/>
                              </w:rPr>
                              <w:t>ance</w:t>
                            </w:r>
                            <w:r w:rsidRPr="008F243B">
                              <w:rPr>
                                <w:bCs/>
                                <w:i/>
                                <w:iCs/>
                                <w:color w:val="auto"/>
                              </w:rPr>
                              <w:t xml:space="preserve"> </w:t>
                            </w:r>
                            <w:r w:rsidR="00731581" w:rsidRPr="008F243B">
                              <w:rPr>
                                <w:bCs/>
                                <w:i/>
                                <w:iCs/>
                                <w:color w:val="auto"/>
                              </w:rPr>
                              <w:t>on</w:t>
                            </w:r>
                            <w:r w:rsidRPr="008F243B">
                              <w:rPr>
                                <w:bCs/>
                                <w:i/>
                                <w:iCs/>
                                <w:color w:val="auto"/>
                              </w:rPr>
                              <w:t xml:space="preserve"> </w:t>
                            </w:r>
                            <w:hyperlink r:id="rId7" w:history="1">
                              <w:r w:rsidRPr="008F243B">
                                <w:rPr>
                                  <w:rStyle w:val="Hyperlink"/>
                                  <w:i/>
                                  <w:iCs/>
                                </w:rPr>
                                <w:t>using your pupil premium funding effectively</w:t>
                              </w:r>
                            </w:hyperlink>
                            <w:r w:rsidRPr="00BD4B12">
                              <w:rPr>
                                <w:bCs/>
                                <w:i/>
                                <w:iCs/>
                                <w:color w:val="auto"/>
                              </w:rPr>
                              <w:t xml:space="preserve"> and DfE’s</w:t>
                            </w:r>
                            <w:r w:rsidRPr="008F243B">
                              <w:rPr>
                                <w:bCs/>
                                <w:color w:val="auto"/>
                              </w:rPr>
                              <w:t xml:space="preserve"> </w:t>
                            </w:r>
                            <w:hyperlink r:id="rId8" w:history="1">
                              <w:r w:rsidR="00D3578A" w:rsidRPr="008F243B">
                                <w:rPr>
                                  <w:rStyle w:val="Hyperlink"/>
                                  <w:i/>
                                  <w:iCs/>
                                </w:rPr>
                                <w:t>using pupil premium guidance</w:t>
                              </w:r>
                            </w:hyperlink>
                            <w:r w:rsidRPr="00BD4B12">
                              <w:rPr>
                                <w:bCs/>
                                <w:i/>
                                <w:iCs/>
                                <w:color w:val="auto"/>
                              </w:rPr>
                              <w:t>, which includes the ‘menu of approaches’</w:t>
                            </w:r>
                            <w:r w:rsidRPr="008F243B">
                              <w:rPr>
                                <w:bCs/>
                                <w:i/>
                                <w:iCs/>
                                <w:color w:val="auto"/>
                              </w:rPr>
                              <w:t>. It is for school leaders to decide what activity to spend their pupil premium (and recovery premium) on, within the framework set out by the menu.</w:t>
                            </w:r>
                          </w:p>
                          <w:p w14:paraId="67CAB2FC" w14:textId="36B4196C" w:rsidR="00993CFC" w:rsidRDefault="00993CFC" w:rsidP="00F33DC0">
                            <w:pPr>
                              <w:rPr>
                                <w:i/>
                                <w:iCs/>
                              </w:rPr>
                            </w:pPr>
                            <w:bookmarkStart w:id="5" w:name="_Hlk117600237"/>
                            <w:r w:rsidRPr="00993CFC">
                              <w:rPr>
                                <w:i/>
                                <w:iCs/>
                              </w:rPr>
                              <w:t xml:space="preserve">All schools that receive pupil premium (and recovery premium) are required to use </w:t>
                            </w:r>
                            <w:r>
                              <w:rPr>
                                <w:i/>
                                <w:iCs/>
                              </w:rPr>
                              <w:t>this</w:t>
                            </w:r>
                            <w:r w:rsidRPr="00993CFC">
                              <w:rPr>
                                <w:i/>
                                <w:iCs/>
                              </w:rPr>
                              <w:t xml:space="preserve"> template to complete and publish </w:t>
                            </w:r>
                            <w:r w:rsidR="00306CB7">
                              <w:rPr>
                                <w:i/>
                                <w:iCs/>
                              </w:rPr>
                              <w:t>a</w:t>
                            </w:r>
                            <w:r w:rsidRPr="00993CFC">
                              <w:rPr>
                                <w:i/>
                                <w:iCs/>
                              </w:rPr>
                              <w:t xml:space="preserve"> pupil premium statement on their school website by 31 December</w:t>
                            </w:r>
                            <w:r w:rsidR="00060A62">
                              <w:rPr>
                                <w:i/>
                                <w:iCs/>
                              </w:rPr>
                              <w:t xml:space="preserve"> every academic year</w:t>
                            </w:r>
                            <w:r w:rsidRPr="00993CFC">
                              <w:rPr>
                                <w:i/>
                                <w:iCs/>
                              </w:rPr>
                              <w:t>.</w:t>
                            </w:r>
                          </w:p>
                          <w:p w14:paraId="5C77A3F6" w14:textId="7E0B45A8" w:rsidR="00D877D0" w:rsidRDefault="005750E2" w:rsidP="00D877D0">
                            <w:pPr>
                              <w:rPr>
                                <w:i/>
                                <w:iCs/>
                              </w:rPr>
                            </w:pPr>
                            <w:r w:rsidRPr="005750E2">
                              <w:rPr>
                                <w:i/>
                                <w:iCs/>
                              </w:rPr>
                              <w:t>If you are starting a new pupil premium strategy plan, use this</w:t>
                            </w:r>
                            <w:r w:rsidR="004A4C45">
                              <w:rPr>
                                <w:i/>
                                <w:iCs/>
                              </w:rPr>
                              <w:t xml:space="preserve"> </w:t>
                            </w:r>
                            <w:r w:rsidR="003C4C27">
                              <w:rPr>
                                <w:i/>
                                <w:iCs/>
                              </w:rPr>
                              <w:t>blank template</w:t>
                            </w:r>
                            <w:r w:rsidRPr="005750E2">
                              <w:rPr>
                                <w:i/>
                                <w:iCs/>
                              </w:rPr>
                              <w:t xml:space="preserve">. If you are continuing a strategy </w:t>
                            </w:r>
                            <w:r w:rsidR="004E1D73">
                              <w:rPr>
                                <w:i/>
                                <w:iCs/>
                              </w:rPr>
                              <w:t>plan from</w:t>
                            </w:r>
                            <w:r w:rsidR="00D877D0">
                              <w:rPr>
                                <w:i/>
                                <w:iCs/>
                              </w:rPr>
                              <w:t xml:space="preserve"> </w:t>
                            </w:r>
                            <w:r w:rsidR="00904A66">
                              <w:rPr>
                                <w:i/>
                                <w:iCs/>
                              </w:rPr>
                              <w:t>last</w:t>
                            </w:r>
                            <w:r w:rsidRPr="005750E2">
                              <w:rPr>
                                <w:i/>
                                <w:iCs/>
                              </w:rPr>
                              <w:t xml:space="preserve"> academic year, you may </w:t>
                            </w:r>
                            <w:r w:rsidR="00A50104">
                              <w:rPr>
                                <w:i/>
                                <w:iCs/>
                              </w:rPr>
                              <w:t>prefer</w:t>
                            </w:r>
                            <w:r w:rsidRPr="005750E2">
                              <w:rPr>
                                <w:i/>
                                <w:iCs/>
                              </w:rPr>
                              <w:t xml:space="preserve"> to edit your </w:t>
                            </w:r>
                            <w:bookmarkEnd w:id="5"/>
                            <w:r w:rsidR="00D877D0">
                              <w:rPr>
                                <w:i/>
                                <w:iCs/>
                              </w:rPr>
                              <w:t>existing statement.</w:t>
                            </w:r>
                          </w:p>
                          <w:p w14:paraId="2A7D54B6" w14:textId="4FEC4271" w:rsidR="00E66558" w:rsidRPr="00075FAE" w:rsidRDefault="009D71E8">
                            <w:pPr>
                              <w:keepNext/>
                              <w:spacing w:before="120" w:after="120"/>
                              <w:outlineLvl w:val="1"/>
                              <w:rPr>
                                <w:bCs/>
                                <w:i/>
                                <w:iCs/>
                                <w:sz w:val="28"/>
                                <w:szCs w:val="28"/>
                              </w:rPr>
                            </w:pPr>
                            <w:r w:rsidRPr="00075FAE">
                              <w:rPr>
                                <w:bCs/>
                                <w:i/>
                                <w:iCs/>
                                <w:color w:val="auto"/>
                              </w:rPr>
                              <w:t>Before publishing your completed statement, delete the instructions (text in italics) in this template, including this text box.</w:t>
                            </w:r>
                          </w:p>
                        </w:txbxContent>
                      </wps:txbx>
                      <wps:bodyPr vert="horz" wrap="square" lIns="91440" tIns="45720" rIns="91440" bIns="45720" anchor="ctr" anchorCtr="0" compatLnSpc="0">
                        <a:noAutofit/>
                      </wps:bodyPr>
                    </wps:wsp>
                  </a:graphicData>
                </a:graphic>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2" o:spid="_x0000_s1026" type="#_x0000_t202" alt="&quot;&quot;" style="position:absolute;left:0;text-align:left;margin-left:-.1pt;margin-top:56.9pt;width:472.45pt;height:259.8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" fillcolor="#f2f2f2" strokeweight=".26467mm">
                <v:textbox>
                  <w:txbxContent>
                    <w:p w14:paraId="2EED2A16" w14:textId="4FFD1D2E" w:rsidR="00B572C4" w:rsidRPr="008F243B" w:rsidRDefault="00B572C4" w:rsidP="009539E3">
                      <w:pPr>
                        <w:rPr>
                          <w:bCs/>
                          <w:i/>
                          <w:iCs/>
                          <w:color w:val="auto"/>
                        </w:rPr>
                      </w:pPr>
                      <w:r w:rsidRPr="008F243B">
                        <w:rPr>
                          <w:bCs/>
                          <w:i/>
                          <w:iCs/>
                          <w:color w:val="auto"/>
                        </w:rPr>
                        <w:t xml:space="preserve">Before completing this template, </w:t>
                      </w:r>
                      <w:r w:rsidR="00F63E9E" w:rsidRPr="008F243B">
                        <w:rPr>
                          <w:bCs/>
                          <w:i/>
                          <w:iCs/>
                          <w:color w:val="auto"/>
                        </w:rPr>
                        <w:t xml:space="preserve">read </w:t>
                      </w:r>
                      <w:r w:rsidRPr="008F243B">
                        <w:rPr>
                          <w:bCs/>
                          <w:i/>
                          <w:iCs/>
                          <w:color w:val="auto"/>
                        </w:rPr>
                        <w:t>the E</w:t>
                      </w:r>
                      <w:r w:rsidR="00D3578A" w:rsidRPr="008F243B">
                        <w:rPr>
                          <w:bCs/>
                          <w:i/>
                          <w:iCs/>
                          <w:color w:val="auto"/>
                        </w:rPr>
                        <w:t xml:space="preserve">ducation </w:t>
                      </w:r>
                      <w:r w:rsidRPr="008F243B">
                        <w:rPr>
                          <w:bCs/>
                          <w:i/>
                          <w:iCs/>
                          <w:color w:val="auto"/>
                        </w:rPr>
                        <w:t>E</w:t>
                      </w:r>
                      <w:r w:rsidR="00D3578A" w:rsidRPr="008F243B">
                        <w:rPr>
                          <w:bCs/>
                          <w:i/>
                          <w:iCs/>
                          <w:color w:val="auto"/>
                        </w:rPr>
                        <w:t xml:space="preserve">ndowment </w:t>
                      </w:r>
                      <w:r w:rsidRPr="008F243B">
                        <w:rPr>
                          <w:bCs/>
                          <w:i/>
                          <w:iCs/>
                          <w:color w:val="auto"/>
                        </w:rPr>
                        <w:t>F</w:t>
                      </w:r>
                      <w:r w:rsidR="00D3578A" w:rsidRPr="008F243B">
                        <w:rPr>
                          <w:bCs/>
                          <w:i/>
                          <w:iCs/>
                          <w:color w:val="auto"/>
                        </w:rPr>
                        <w:t>oundation’s</w:t>
                      </w:r>
                      <w:r w:rsidRPr="008F243B">
                        <w:rPr>
                          <w:bCs/>
                          <w:i/>
                          <w:iCs/>
                          <w:color w:val="auto"/>
                        </w:rPr>
                        <w:t xml:space="preserve"> guid</w:t>
                      </w:r>
                      <w:r w:rsidR="00BC67F6" w:rsidRPr="008F243B">
                        <w:rPr>
                          <w:bCs/>
                          <w:i/>
                          <w:iCs/>
                          <w:color w:val="auto"/>
                        </w:rPr>
                        <w:t>ance</w:t>
                      </w:r>
                      <w:r w:rsidRPr="008F243B">
                        <w:rPr>
                          <w:bCs/>
                          <w:i/>
                          <w:iCs/>
                          <w:color w:val="auto"/>
                        </w:rPr>
                        <w:t xml:space="preserve"> </w:t>
                      </w:r>
                      <w:r w:rsidR="00731581" w:rsidRPr="008F243B">
                        <w:rPr>
                          <w:bCs/>
                          <w:i/>
                          <w:iCs/>
                          <w:color w:val="auto"/>
                        </w:rPr>
                        <w:t>on</w:t>
                      </w:r>
                      <w:r w:rsidRPr="008F243B">
                        <w:rPr>
                          <w:bCs/>
                          <w:i/>
                          <w:iCs/>
                          <w:color w:val="auto"/>
                        </w:rPr>
                        <w:t xml:space="preserve"> </w:t>
                      </w:r>
                      <w:hyperlink r:id="rId9" w:history="1">
                        <w:r w:rsidRPr="008F243B">
                          <w:rPr>
                            <w:rStyle w:val="Hyperlink"/>
                            <w:i/>
                            <w:iCs/>
                          </w:rPr>
                          <w:t>using your pupil premium funding effectively</w:t>
                        </w:r>
                      </w:hyperlink>
                      <w:r w:rsidRPr="00BD4B12">
                        <w:rPr>
                          <w:bCs/>
                          <w:i/>
                          <w:iCs/>
                          <w:color w:val="auto"/>
                        </w:rPr>
                        <w:t xml:space="preserve"> and DfE’s</w:t>
                      </w:r>
                      <w:r w:rsidRPr="008F243B">
                        <w:rPr>
                          <w:bCs/>
                          <w:color w:val="auto"/>
                        </w:rPr>
                        <w:t xml:space="preserve"> </w:t>
                      </w:r>
                      <w:hyperlink r:id="rId10" w:history="1">
                        <w:r w:rsidR="00D3578A" w:rsidRPr="008F243B">
                          <w:rPr>
                            <w:rStyle w:val="Hyperlink"/>
                            <w:i/>
                            <w:iCs/>
                          </w:rPr>
                          <w:t>using pupil premium guidance</w:t>
                        </w:r>
                      </w:hyperlink>
                      <w:r w:rsidRPr="00BD4B12">
                        <w:rPr>
                          <w:bCs/>
                          <w:i/>
                          <w:iCs/>
                          <w:color w:val="auto"/>
                        </w:rPr>
                        <w:t>, which includes the ‘menu of approaches’</w:t>
                      </w:r>
                      <w:r w:rsidRPr="008F243B">
                        <w:rPr>
                          <w:bCs/>
                          <w:i/>
                          <w:iCs/>
                          <w:color w:val="auto"/>
                        </w:rPr>
                        <w:t>. It is for school leaders to decide what activity to spend their pupil premium (and recovery premium) on, within the framework set out by the menu.</w:t>
                      </w:r>
                    </w:p>
                    <w:p w14:paraId="67CAB2FC" w14:textId="36B4196C" w:rsidR="00993CFC" w:rsidRDefault="00993CFC" w:rsidP="00F33DC0">
                      <w:pPr>
                        <w:rPr>
                          <w:i/>
                          <w:iCs/>
                        </w:rPr>
                      </w:pPr>
                      <w:bookmarkStart w:id="6" w:name="_Hlk117600237"/>
                      <w:r w:rsidRPr="00993CFC">
                        <w:rPr>
                          <w:i/>
                          <w:iCs/>
                        </w:rPr>
                        <w:t xml:space="preserve">All schools that receive pupil premium (and recovery premium) are required to use </w:t>
                      </w:r>
                      <w:r>
                        <w:rPr>
                          <w:i/>
                          <w:iCs/>
                        </w:rPr>
                        <w:t>this</w:t>
                      </w:r>
                      <w:r w:rsidRPr="00993CFC">
                        <w:rPr>
                          <w:i/>
                          <w:iCs/>
                        </w:rPr>
                        <w:t xml:space="preserve"> template to complete and publish </w:t>
                      </w:r>
                      <w:r w:rsidR="00306CB7">
                        <w:rPr>
                          <w:i/>
                          <w:iCs/>
                        </w:rPr>
                        <w:t>a</w:t>
                      </w:r>
                      <w:r w:rsidRPr="00993CFC">
                        <w:rPr>
                          <w:i/>
                          <w:iCs/>
                        </w:rPr>
                        <w:t xml:space="preserve"> pupil premium statement on their school website by 31 December</w:t>
                      </w:r>
                      <w:r w:rsidR="00060A62">
                        <w:rPr>
                          <w:i/>
                          <w:iCs/>
                        </w:rPr>
                        <w:t xml:space="preserve"> every academic year</w:t>
                      </w:r>
                      <w:r w:rsidRPr="00993CFC">
                        <w:rPr>
                          <w:i/>
                          <w:iCs/>
                        </w:rPr>
                        <w:t>.</w:t>
                      </w:r>
                    </w:p>
                    <w:p w14:paraId="5C77A3F6" w14:textId="7E0B45A8" w:rsidR="00D877D0" w:rsidRDefault="005750E2" w:rsidP="00D877D0">
                      <w:pPr>
                        <w:rPr>
                          <w:i/>
                          <w:iCs/>
                        </w:rPr>
                      </w:pPr>
                      <w:r w:rsidRPr="005750E2">
                        <w:rPr>
                          <w:i/>
                          <w:iCs/>
                        </w:rPr>
                        <w:t>If you are starting a new pupil premium strategy plan, use this</w:t>
                      </w:r>
                      <w:r w:rsidR="004A4C45">
                        <w:rPr>
                          <w:i/>
                          <w:iCs/>
                        </w:rPr>
                        <w:t xml:space="preserve"> </w:t>
                      </w:r>
                      <w:r w:rsidR="003C4C27">
                        <w:rPr>
                          <w:i/>
                          <w:iCs/>
                        </w:rPr>
                        <w:t>blank template</w:t>
                      </w:r>
                      <w:r w:rsidRPr="005750E2">
                        <w:rPr>
                          <w:i/>
                          <w:iCs/>
                        </w:rPr>
                        <w:t xml:space="preserve">. If you are continuing a strategy </w:t>
                      </w:r>
                      <w:r w:rsidR="004E1D73">
                        <w:rPr>
                          <w:i/>
                          <w:iCs/>
                        </w:rPr>
                        <w:t>plan from</w:t>
                      </w:r>
                      <w:r w:rsidR="00D877D0">
                        <w:rPr>
                          <w:i/>
                          <w:iCs/>
                        </w:rPr>
                        <w:t xml:space="preserve"> </w:t>
                      </w:r>
                      <w:r w:rsidR="00904A66">
                        <w:rPr>
                          <w:i/>
                          <w:iCs/>
                        </w:rPr>
                        <w:t>last</w:t>
                      </w:r>
                      <w:r w:rsidRPr="005750E2">
                        <w:rPr>
                          <w:i/>
                          <w:iCs/>
                        </w:rPr>
                        <w:t xml:space="preserve"> academic year, you may </w:t>
                      </w:r>
                      <w:r w:rsidR="00A50104">
                        <w:rPr>
                          <w:i/>
                          <w:iCs/>
                        </w:rPr>
                        <w:t>prefer</w:t>
                      </w:r>
                      <w:r w:rsidRPr="005750E2">
                        <w:rPr>
                          <w:i/>
                          <w:iCs/>
                        </w:rPr>
                        <w:t xml:space="preserve"> to edit your </w:t>
                      </w:r>
                      <w:bookmarkEnd w:id="6"/>
                      <w:r w:rsidR="00D877D0">
                        <w:rPr>
                          <w:i/>
                          <w:iCs/>
                        </w:rPr>
                        <w:t>existing statement.</w:t>
                      </w:r>
                    </w:p>
                    <w:p w14:paraId="2A7D54B6" w14:textId="4FEC4271" w:rsidR="00E66558" w:rsidRPr="00075FAE" w:rsidRDefault="009D71E8">
                      <w:pPr>
                        <w:keepNext/>
                        <w:spacing w:before="120" w:after="120"/>
                        <w:outlineLvl w:val="1"/>
                        <w:rPr>
                          <w:bCs/>
                          <w:i/>
                          <w:iCs/>
                          <w:sz w:val="28"/>
                          <w:szCs w:val="28"/>
                        </w:rPr>
                      </w:pPr>
                      <w:r w:rsidRPr="00075FAE">
                        <w:rPr>
                          <w:bCs/>
                          <w:i/>
                          <w:iCs/>
                          <w:color w:val="auto"/>
                        </w:rPr>
                        <w:t>Before publishing your completed statement, delete the instructions (text in italics) in this template, including this text box.</w:t>
                      </w:r>
                    </w:p>
                  </w:txbxContent>
                </v:textbox>
                <w10:wrap type="square" anchorx="margin" anchory="margin"/>
              </v:shape>
            </w:pict>
          </mc:Fallback>
        </mc:AlternateContent>
      </w:r>
      <w:r w:rsidR="009D71E8" w:rsidRPr="003071F7">
        <w:rPr>
          <w:szCs w:val="36"/>
        </w:rPr>
        <w:t>Pupil premium strategy stat</w:t>
      </w:r>
      <w:bookmarkStart w:id="7" w:name="_Toc338167830"/>
      <w:bookmarkStart w:id="8" w:name="_Toc361136403"/>
      <w:bookmarkStart w:id="9" w:name="_Toc364235708"/>
      <w:bookmarkStart w:id="10" w:name="_Toc364235752"/>
      <w:bookmarkStart w:id="11" w:name="_Toc364235834"/>
      <w:bookmarkStart w:id="12" w:name="_Toc364840099"/>
      <w:bookmarkStart w:id="13" w:name="_Toc364864309"/>
      <w:bookmarkStart w:id="14" w:name="_Toc400361364"/>
      <w:bookmarkStart w:id="15" w:name="_Toc443397154"/>
      <w:bookmarkEnd w:id="0"/>
      <w:bookmarkEnd w:id="1"/>
      <w:r w:rsidR="00BA4D9E" w:rsidRPr="003071F7">
        <w:rPr>
          <w:szCs w:val="36"/>
        </w:rPr>
        <w:t xml:space="preserve">ement </w:t>
      </w:r>
      <w:r w:rsidR="003071F7">
        <w:rPr>
          <w:szCs w:val="36"/>
        </w:rPr>
        <w:t xml:space="preserve">2023 onwards– </w:t>
      </w:r>
      <w:r w:rsidR="00CB6A09">
        <w:rPr>
          <w:szCs w:val="36"/>
        </w:rPr>
        <w:t xml:space="preserve">       </w:t>
      </w:r>
      <w:r w:rsidR="0056751F">
        <w:rPr>
          <w:szCs w:val="36"/>
        </w:rPr>
        <w:t>Wimbotsham and Stow</w:t>
      </w:r>
      <w:r w:rsidR="00CB6A09">
        <w:rPr>
          <w:szCs w:val="36"/>
        </w:rPr>
        <w:t xml:space="preserve"> </w:t>
      </w:r>
      <w:r w:rsidR="003071F7">
        <w:rPr>
          <w:szCs w:val="36"/>
        </w:rPr>
        <w:t>Academy</w:t>
      </w:r>
    </w:p>
    <w:p w14:paraId="4EE876CB" w14:textId="77777777" w:rsidR="008E000B" w:rsidRPr="003071F7" w:rsidRDefault="008E000B" w:rsidP="00C62989"/>
    <w:p w14:paraId="2A7D54B2" w14:textId="3EE41438" w:rsidR="00E66558" w:rsidRPr="003071F7" w:rsidRDefault="009D71E8" w:rsidP="00C62989">
      <w:pPr>
        <w:rPr>
          <w:b/>
        </w:rPr>
      </w:pPr>
      <w:r w:rsidRPr="003071F7">
        <w:t xml:space="preserve">This statement details our school’s use of pupil premium (and recovery premium) funding to help improve the attainment of our disadvantaged pupils. </w:t>
      </w:r>
    </w:p>
    <w:p w14:paraId="2A7D54B3" w14:textId="730F2E71" w:rsidR="00E66558" w:rsidRPr="003071F7" w:rsidRDefault="009D71E8" w:rsidP="00C62989">
      <w:pPr>
        <w:rPr>
          <w:b/>
        </w:rPr>
      </w:pPr>
      <w:r w:rsidRPr="003071F7">
        <w:t xml:space="preserve">It outlines our pupil premium strategy, how we intend to spend the funding in this academic year and the </w:t>
      </w:r>
      <w:r w:rsidR="00830D57" w:rsidRPr="003071F7">
        <w:t xml:space="preserve">outcomes </w:t>
      </w:r>
      <w:r w:rsidR="00A44FBB" w:rsidRPr="003071F7">
        <w:t>for disadvantaged pupils</w:t>
      </w:r>
      <w:r w:rsidRPr="003071F7">
        <w:t xml:space="preserve"> last </w:t>
      </w:r>
      <w:r w:rsidR="00A44FBB" w:rsidRPr="003071F7">
        <w:t xml:space="preserve">academic </w:t>
      </w:r>
      <w:r w:rsidRPr="003071F7">
        <w:t>year</w:t>
      </w:r>
      <w:r w:rsidR="00A44FBB" w:rsidRPr="003071F7">
        <w:t>.</w:t>
      </w:r>
    </w:p>
    <w:p w14:paraId="2A7D54B4" w14:textId="2CAB096C" w:rsidR="00E66558" w:rsidRPr="003071F7" w:rsidRDefault="009D71E8">
      <w:pPr>
        <w:pStyle w:val="Heading2"/>
        <w:rPr>
          <w:sz w:val="24"/>
          <w:szCs w:val="24"/>
        </w:rPr>
      </w:pPr>
      <w:r w:rsidRPr="003071F7">
        <w:rPr>
          <w:sz w:val="24"/>
          <w:szCs w:val="24"/>
        </w:rPr>
        <w:t>School overview</w:t>
      </w:r>
      <w:bookmarkEnd w:id="7"/>
      <w:bookmarkEnd w:id="8"/>
      <w:bookmarkEnd w:id="9"/>
      <w:bookmarkEnd w:id="10"/>
      <w:bookmarkEnd w:id="11"/>
      <w:bookmarkEnd w:id="12"/>
      <w:bookmarkEnd w:id="13"/>
      <w:bookmarkEnd w:id="14"/>
      <w:bookmarkEnd w:id="15"/>
    </w:p>
    <w:tbl>
      <w:tblPr>
        <w:tblW w:w="5000" w:type="pct"/>
        <w:tblCellMar>
          <w:left w:w="10" w:type="dxa"/>
          <w:right w:w="10" w:type="dxa"/>
        </w:tblCellMar>
        <w:tblLook w:val="04A0" w:firstRow="1" w:lastRow="0" w:firstColumn="1" w:lastColumn="0" w:noHBand="0" w:noVBand="1"/>
      </w:tblPr>
      <w:tblGrid>
        <w:gridCol w:w="6517"/>
        <w:gridCol w:w="2969"/>
      </w:tblGrid>
      <w:tr w:rsidR="00E66558" w:rsidRPr="003071F7"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Pr="003071F7" w:rsidRDefault="009D71E8">
            <w:pPr>
              <w:pStyle w:val="TableHeader"/>
              <w:jc w:val="left"/>
            </w:pPr>
            <w:r w:rsidRPr="003071F7">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Pr="003071F7" w:rsidRDefault="009D71E8">
            <w:pPr>
              <w:pStyle w:val="TableHeader"/>
              <w:jc w:val="left"/>
            </w:pPr>
            <w:r w:rsidRPr="003071F7">
              <w:t>Data</w:t>
            </w:r>
          </w:p>
        </w:tc>
      </w:tr>
      <w:tr w:rsidR="002940F3" w:rsidRPr="003071F7"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Pr="003071F7" w:rsidRDefault="002940F3">
            <w:pPr>
              <w:pStyle w:val="TableRow"/>
            </w:pPr>
            <w:r w:rsidRPr="003071F7">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5E454226" w:rsidR="002940F3" w:rsidRPr="003071F7" w:rsidRDefault="00CB6A09">
            <w:pPr>
              <w:pStyle w:val="TableRow"/>
            </w:pPr>
            <w:r>
              <w:t>98</w:t>
            </w:r>
          </w:p>
        </w:tc>
      </w:tr>
      <w:tr w:rsidR="002940F3" w:rsidRPr="003071F7"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Pr="003071F7" w:rsidRDefault="002940F3">
            <w:pPr>
              <w:pStyle w:val="TableRow"/>
            </w:pPr>
            <w:r w:rsidRPr="003071F7">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3DF3952F" w:rsidR="002940F3" w:rsidRPr="003071F7" w:rsidRDefault="00137528">
            <w:pPr>
              <w:pStyle w:val="TableRow"/>
            </w:pPr>
            <w:r>
              <w:t>8</w:t>
            </w:r>
            <w:r w:rsidR="00BA4D9E" w:rsidRPr="003071F7">
              <w:t>%</w:t>
            </w:r>
          </w:p>
        </w:tc>
      </w:tr>
      <w:tr w:rsidR="002940F3" w:rsidRPr="003071F7"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Pr="003071F7" w:rsidRDefault="002940F3">
            <w:pPr>
              <w:pStyle w:val="TableRow"/>
            </w:pPr>
            <w:r w:rsidRPr="003071F7">
              <w:t xml:space="preserve">Academic year/years that our current pupil premium strategy plan covers </w:t>
            </w:r>
            <w:r w:rsidRPr="003071F7">
              <w:rPr>
                <w:b/>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3267D171" w:rsidR="002940F3" w:rsidRPr="003071F7" w:rsidRDefault="00BA4D9E">
            <w:pPr>
              <w:pStyle w:val="TableRow"/>
            </w:pPr>
            <w:r w:rsidRPr="003071F7">
              <w:t>2023 - 2026</w:t>
            </w:r>
          </w:p>
        </w:tc>
      </w:tr>
      <w:tr w:rsidR="002940F3" w:rsidRPr="003071F7"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Pr="003071F7" w:rsidRDefault="002940F3">
            <w:pPr>
              <w:pStyle w:val="TableRow"/>
            </w:pPr>
            <w:r w:rsidRPr="003071F7">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4C09F370" w:rsidR="002940F3" w:rsidRPr="003071F7" w:rsidRDefault="00BA4D9E">
            <w:pPr>
              <w:pStyle w:val="TableRow"/>
            </w:pPr>
            <w:r w:rsidRPr="003071F7">
              <w:t>October 2023</w:t>
            </w:r>
          </w:p>
        </w:tc>
      </w:tr>
      <w:tr w:rsidR="002940F3" w:rsidRPr="003071F7"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Pr="003071F7" w:rsidRDefault="002940F3">
            <w:pPr>
              <w:pStyle w:val="TableRow"/>
            </w:pPr>
            <w:r w:rsidRPr="003071F7">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24D7A469" w:rsidR="002940F3" w:rsidRPr="003071F7" w:rsidRDefault="00BA4D9E">
            <w:pPr>
              <w:pStyle w:val="TableRow"/>
            </w:pPr>
            <w:r w:rsidRPr="003071F7">
              <w:t>July 2024</w:t>
            </w:r>
          </w:p>
        </w:tc>
      </w:tr>
      <w:tr w:rsidR="002940F3" w:rsidRPr="003071F7"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Pr="003071F7" w:rsidRDefault="002940F3">
            <w:pPr>
              <w:pStyle w:val="TableRow"/>
            </w:pPr>
            <w:r w:rsidRPr="003071F7">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1FC18FD6" w:rsidR="002940F3" w:rsidRPr="003071F7" w:rsidRDefault="00BA4D9E">
            <w:pPr>
              <w:pStyle w:val="TableRow"/>
            </w:pPr>
            <w:r w:rsidRPr="003071F7">
              <w:t>Louise Arrowsmith</w:t>
            </w:r>
          </w:p>
        </w:tc>
      </w:tr>
      <w:tr w:rsidR="002940F3" w:rsidRPr="003071F7"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Pr="003071F7" w:rsidRDefault="002940F3">
            <w:pPr>
              <w:pStyle w:val="TableRow"/>
            </w:pPr>
            <w:r w:rsidRPr="003071F7">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51CE6B38" w:rsidR="002940F3" w:rsidRPr="003071F7" w:rsidRDefault="00BA4D9E">
            <w:pPr>
              <w:pStyle w:val="TableRow"/>
            </w:pPr>
            <w:r w:rsidRPr="003071F7">
              <w:t>Louise Arrowsmith</w:t>
            </w:r>
          </w:p>
        </w:tc>
      </w:tr>
      <w:tr w:rsidR="002940F3" w:rsidRPr="003071F7"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Pr="003071F7" w:rsidRDefault="002940F3">
            <w:pPr>
              <w:pStyle w:val="TableRow"/>
            </w:pPr>
            <w:r w:rsidRPr="003071F7">
              <w:t>Governor / Trustee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77777777" w:rsidR="002940F3" w:rsidRPr="003071F7" w:rsidRDefault="002940F3">
            <w:pPr>
              <w:pStyle w:val="TableRow"/>
            </w:pPr>
          </w:p>
        </w:tc>
      </w:tr>
    </w:tbl>
    <w:bookmarkEnd w:id="2"/>
    <w:bookmarkEnd w:id="3"/>
    <w:bookmarkEnd w:id="4"/>
    <w:p w14:paraId="2A7D54D3" w14:textId="77777777" w:rsidR="00E66558" w:rsidRPr="003071F7" w:rsidRDefault="009D71E8" w:rsidP="005464A1">
      <w:pPr>
        <w:pStyle w:val="Heading2"/>
        <w:rPr>
          <w:sz w:val="24"/>
          <w:szCs w:val="24"/>
        </w:rPr>
      </w:pPr>
      <w:r w:rsidRPr="003071F7">
        <w:rPr>
          <w:sz w:val="24"/>
          <w:szCs w:val="24"/>
        </w:rP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3071F7"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Pr="003071F7" w:rsidRDefault="009D71E8">
            <w:pPr>
              <w:pStyle w:val="TableRow"/>
            </w:pPr>
            <w:r w:rsidRPr="003071F7">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Pr="003071F7" w:rsidRDefault="009D71E8">
            <w:pPr>
              <w:pStyle w:val="TableRow"/>
            </w:pPr>
            <w:r w:rsidRPr="003071F7">
              <w:rPr>
                <w:b/>
              </w:rPr>
              <w:t>Amount</w:t>
            </w:r>
          </w:p>
        </w:tc>
      </w:tr>
      <w:tr w:rsidR="00E66558" w:rsidRPr="003071F7"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Pr="003071F7" w:rsidRDefault="009D71E8">
            <w:pPr>
              <w:pStyle w:val="TableRow"/>
            </w:pPr>
            <w:r w:rsidRPr="003071F7">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69D56B63" w:rsidR="00E66558" w:rsidRPr="003071F7" w:rsidRDefault="009D71E8">
            <w:pPr>
              <w:pStyle w:val="TableRow"/>
            </w:pPr>
            <w:r w:rsidRPr="003071F7">
              <w:t>£</w:t>
            </w:r>
            <w:r w:rsidR="0056751F">
              <w:t>11</w:t>
            </w:r>
            <w:r w:rsidR="00BA4D9E" w:rsidRPr="003071F7">
              <w:t xml:space="preserve">, </w:t>
            </w:r>
            <w:r w:rsidR="0056751F">
              <w:t>64</w:t>
            </w:r>
            <w:r w:rsidR="00BA4D9E" w:rsidRPr="003071F7">
              <w:t>0</w:t>
            </w:r>
          </w:p>
        </w:tc>
      </w:tr>
      <w:tr w:rsidR="00E66558" w:rsidRPr="003071F7"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Pr="003071F7" w:rsidRDefault="009D71E8">
            <w:pPr>
              <w:pStyle w:val="TableRow"/>
            </w:pPr>
            <w:r w:rsidRPr="003071F7">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4BAB6BC9" w:rsidR="00E66558" w:rsidRPr="003071F7" w:rsidRDefault="009D71E8">
            <w:pPr>
              <w:pStyle w:val="TableRow"/>
            </w:pPr>
            <w:r w:rsidRPr="003071F7">
              <w:t>£</w:t>
            </w:r>
            <w:r w:rsidR="00255138" w:rsidRPr="003071F7">
              <w:t>2,</w:t>
            </w:r>
            <w:r w:rsidR="0056751F">
              <w:t>000</w:t>
            </w:r>
          </w:p>
        </w:tc>
      </w:tr>
      <w:tr w:rsidR="00E66558" w:rsidRPr="003071F7"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Pr="003071F7" w:rsidRDefault="009D71E8" w:rsidP="009C0914">
            <w:pPr>
              <w:pStyle w:val="TableRow"/>
              <w:spacing w:after="120"/>
            </w:pPr>
            <w:r w:rsidRPr="003071F7">
              <w:t xml:space="preserve">Pupil premium </w:t>
            </w:r>
            <w:r w:rsidR="006E0786" w:rsidRPr="003071F7">
              <w:t>(and recovery premium</w:t>
            </w:r>
            <w:r w:rsidR="001E206F" w:rsidRPr="003071F7">
              <w:t xml:space="preserve">*) </w:t>
            </w:r>
            <w:r w:rsidRPr="003071F7">
              <w:t xml:space="preserve">funding carried forward from previous years </w:t>
            </w:r>
            <w:r w:rsidRPr="003071F7">
              <w:rPr>
                <w:i/>
                <w:iCs/>
              </w:rPr>
              <w:t>(enter £0 if not applicable)</w:t>
            </w:r>
          </w:p>
          <w:p w14:paraId="2A7D54DD" w14:textId="70EB550D" w:rsidR="001E206F" w:rsidRPr="003071F7" w:rsidRDefault="001E206F">
            <w:pPr>
              <w:pStyle w:val="TableRow"/>
              <w:rPr>
                <w:i/>
                <w:iCs/>
              </w:rPr>
            </w:pPr>
            <w:r w:rsidRPr="003071F7">
              <w:rPr>
                <w:i/>
                <w:iCs/>
              </w:rPr>
              <w:t>*</w:t>
            </w:r>
            <w:r w:rsidR="009C0914" w:rsidRPr="003071F7">
              <w:rPr>
                <w:i/>
                <w:iCs/>
              </w:rPr>
              <w:t>Recovery</w:t>
            </w:r>
            <w:r w:rsidRPr="003071F7">
              <w:rPr>
                <w:i/>
                <w:iCs/>
              </w:rPr>
              <w:t xml:space="preserve"> premium </w:t>
            </w:r>
            <w:r w:rsidR="002940F3" w:rsidRPr="003071F7">
              <w:rPr>
                <w:i/>
                <w:iCs/>
              </w:rPr>
              <w:t>received in</w:t>
            </w:r>
            <w:r w:rsidR="00D877D0" w:rsidRPr="003071F7">
              <w:rPr>
                <w:i/>
                <w:iCs/>
              </w:rPr>
              <w:t xml:space="preserve"> </w:t>
            </w:r>
            <w:r w:rsidR="000D6596" w:rsidRPr="003071F7">
              <w:rPr>
                <w:i/>
                <w:iCs/>
              </w:rPr>
              <w:t xml:space="preserve">academic year </w:t>
            </w:r>
            <w:r w:rsidR="0092287F" w:rsidRPr="003071F7">
              <w:rPr>
                <w:i/>
                <w:iCs/>
              </w:rPr>
              <w:t>2021 to 2022 can be carried forward to</w:t>
            </w:r>
            <w:r w:rsidR="00ED5108" w:rsidRPr="003071F7">
              <w:rPr>
                <w:i/>
                <w:iCs/>
              </w:rPr>
              <w:t xml:space="preserve"> academic year</w:t>
            </w:r>
            <w:r w:rsidR="005E73F1" w:rsidRPr="003071F7">
              <w:rPr>
                <w:i/>
                <w:iCs/>
              </w:rPr>
              <w:t xml:space="preserve"> 2022 to 2023</w:t>
            </w:r>
            <w:r w:rsidR="00ED5108" w:rsidRPr="003071F7">
              <w:rPr>
                <w:i/>
                <w:iCs/>
              </w:rPr>
              <w:t>. Recovery premium received in academic year</w:t>
            </w:r>
            <w:r w:rsidR="005E73F1" w:rsidRPr="003071F7">
              <w:rPr>
                <w:i/>
                <w:iCs/>
              </w:rPr>
              <w:t xml:space="preserve"> 2022 to 2023</w:t>
            </w:r>
            <w:r w:rsidR="00ED5108" w:rsidRPr="003071F7">
              <w:rPr>
                <w:i/>
                <w:iCs/>
              </w:rPr>
              <w:t xml:space="preserve"> cannot be carried forward to 2023 to 2024.</w:t>
            </w:r>
            <w:r w:rsidR="0092287F" w:rsidRPr="003071F7">
              <w:rPr>
                <w:i/>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38C1CB8B" w:rsidR="00E66558" w:rsidRPr="003071F7" w:rsidRDefault="009D71E8">
            <w:pPr>
              <w:pStyle w:val="TableRow"/>
            </w:pPr>
            <w:r w:rsidRPr="003071F7">
              <w:t>£</w:t>
            </w:r>
            <w:r w:rsidR="006513A8">
              <w:t>0</w:t>
            </w:r>
          </w:p>
        </w:tc>
      </w:tr>
      <w:tr w:rsidR="00E66558" w:rsidRPr="003071F7"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Pr="003071F7" w:rsidRDefault="009D71E8" w:rsidP="009C0914">
            <w:pPr>
              <w:pStyle w:val="TableRow"/>
              <w:spacing w:after="120"/>
              <w:rPr>
                <w:b/>
              </w:rPr>
            </w:pPr>
            <w:r w:rsidRPr="003071F7">
              <w:rPr>
                <w:b/>
              </w:rPr>
              <w:t>Total budget for this academic year</w:t>
            </w:r>
          </w:p>
          <w:p w14:paraId="2A7D54E1" w14:textId="77777777" w:rsidR="00E66558" w:rsidRPr="003071F7" w:rsidRDefault="009D71E8">
            <w:pPr>
              <w:pStyle w:val="TableRow"/>
              <w:rPr>
                <w:i/>
                <w:iCs/>
              </w:rPr>
            </w:pPr>
            <w:r w:rsidRPr="003071F7">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5F383425" w:rsidR="00E66558" w:rsidRPr="003071F7" w:rsidRDefault="009D71E8">
            <w:pPr>
              <w:pStyle w:val="TableRow"/>
            </w:pPr>
            <w:r w:rsidRPr="003071F7">
              <w:t>£</w:t>
            </w:r>
            <w:r w:rsidR="00255138" w:rsidRPr="003071F7">
              <w:t xml:space="preserve"> </w:t>
            </w:r>
            <w:r w:rsidR="0056751F">
              <w:t>13</w:t>
            </w:r>
            <w:r w:rsidR="002221D4">
              <w:t>,</w:t>
            </w:r>
            <w:r w:rsidR="0056751F">
              <w:t>640</w:t>
            </w:r>
          </w:p>
        </w:tc>
      </w:tr>
    </w:tbl>
    <w:p w14:paraId="2A7D54E4" w14:textId="77777777" w:rsidR="00E66558" w:rsidRPr="003071F7" w:rsidRDefault="009D71E8">
      <w:pPr>
        <w:pStyle w:val="Heading1"/>
        <w:rPr>
          <w:sz w:val="24"/>
        </w:rPr>
      </w:pPr>
      <w:r w:rsidRPr="003071F7">
        <w:rPr>
          <w:sz w:val="24"/>
        </w:rPr>
        <w:lastRenderedPageBreak/>
        <w:t>Part A: Pupil premium strategy plan</w:t>
      </w:r>
    </w:p>
    <w:p w14:paraId="2A7D54E5" w14:textId="77777777" w:rsidR="00E66558" w:rsidRPr="003071F7" w:rsidRDefault="009D71E8">
      <w:pPr>
        <w:pStyle w:val="Heading2"/>
        <w:rPr>
          <w:sz w:val="24"/>
          <w:szCs w:val="24"/>
        </w:rPr>
      </w:pPr>
      <w:bookmarkStart w:id="16" w:name="_Toc357771640"/>
      <w:bookmarkStart w:id="17" w:name="_Toc346793418"/>
      <w:r w:rsidRPr="003071F7">
        <w:rPr>
          <w:sz w:val="24"/>
          <w:szCs w:val="24"/>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3071F7"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78FB5" w14:textId="0DEFB7B3" w:rsidR="00E66558" w:rsidRPr="003071F7" w:rsidRDefault="00A222EA" w:rsidP="00124F52">
            <w:r w:rsidRPr="003071F7">
              <w:t xml:space="preserve">At </w:t>
            </w:r>
            <w:r w:rsidR="00137528">
              <w:t>Wimbotsham and Stow Academy</w:t>
            </w:r>
            <w:r w:rsidRPr="003071F7">
              <w:t>, we have high aspirations for all pupils and aim to diminish the differences in attainment and progress between disadvantaged pupils and other groups of children within our school.</w:t>
            </w:r>
          </w:p>
          <w:p w14:paraId="1021CDBC" w14:textId="142245CB" w:rsidR="00124F52" w:rsidRPr="003071F7" w:rsidRDefault="00124F52" w:rsidP="00124F52">
            <w:pPr>
              <w:rPr>
                <w:i/>
                <w:iCs/>
              </w:rPr>
            </w:pPr>
            <w:r w:rsidRPr="003071F7">
              <w:t>We intend for all of our pupils from a disadvantaged background to leave Magdalen Academy as confident individuals who are the best person they can possible be. They will read fluently and widely, forming opinions on books and authors. They will write to express their views confidently, solve mathematical problems fluently, gain wider knowledge of the world around them through a carefully constructed curriculum and real-life experiences. They will compete in a team and/or play a musical instrument. They will have aspirations similar to or above those of their peers. They will have experienced the opportunity to be a leader and feel successful.</w:t>
            </w:r>
          </w:p>
          <w:p w14:paraId="7B549CC9" w14:textId="77777777" w:rsidR="00124F52" w:rsidRPr="003071F7" w:rsidRDefault="00124F52" w:rsidP="00124F52">
            <w:r w:rsidRPr="003071F7">
              <w:rPr>
                <w:i/>
                <w:iCs/>
              </w:rPr>
              <w:t>W</w:t>
            </w:r>
            <w:r w:rsidRPr="003071F7">
              <w:t>e are working to achieve these aims by:</w:t>
            </w:r>
          </w:p>
          <w:p w14:paraId="03EF918C" w14:textId="77777777" w:rsidR="00A969C3" w:rsidRPr="003071F7" w:rsidRDefault="00A969C3" w:rsidP="00A969C3">
            <w:r w:rsidRPr="003071F7">
              <w:t>Tier 1:</w:t>
            </w:r>
          </w:p>
          <w:p w14:paraId="2AC6A347" w14:textId="33CE145A" w:rsidR="00124F52" w:rsidRPr="003071F7" w:rsidRDefault="00124F52" w:rsidP="00124F52">
            <w:pPr>
              <w:pStyle w:val="ListParagraph"/>
              <w:numPr>
                <w:ilvl w:val="0"/>
                <w:numId w:val="14"/>
              </w:numPr>
            </w:pPr>
            <w:r w:rsidRPr="003071F7">
              <w:t>Ensuring all pupils have access to high quality teaching in all lessons.</w:t>
            </w:r>
          </w:p>
          <w:p w14:paraId="236F12E0" w14:textId="70936211" w:rsidR="00A969C3" w:rsidRPr="003071F7" w:rsidRDefault="00A969C3" w:rsidP="00A969C3">
            <w:r w:rsidRPr="003071F7">
              <w:t>Tier 2:</w:t>
            </w:r>
          </w:p>
          <w:p w14:paraId="2FBF9F2C" w14:textId="25F9309E" w:rsidR="00124F52" w:rsidRPr="003071F7" w:rsidRDefault="00124F52" w:rsidP="00124F52">
            <w:pPr>
              <w:pStyle w:val="ListParagraph"/>
              <w:numPr>
                <w:ilvl w:val="0"/>
                <w:numId w:val="14"/>
              </w:numPr>
            </w:pPr>
            <w:r w:rsidRPr="003071F7">
              <w:t>Provide a range of targeted support for children not making expected progress</w:t>
            </w:r>
            <w:r w:rsidR="00A969C3" w:rsidRPr="003071F7">
              <w:t xml:space="preserve"> through a range of interventions and academic tuition.</w:t>
            </w:r>
          </w:p>
          <w:p w14:paraId="7911D825" w14:textId="2E004FED" w:rsidR="00A969C3" w:rsidRPr="003071F7" w:rsidRDefault="00A969C3" w:rsidP="00A969C3">
            <w:r w:rsidRPr="003071F7">
              <w:t>Tier 3:</w:t>
            </w:r>
          </w:p>
          <w:p w14:paraId="07D73E95" w14:textId="77777777" w:rsidR="00124F52" w:rsidRPr="003071F7" w:rsidRDefault="00124F52" w:rsidP="00124F52">
            <w:pPr>
              <w:pStyle w:val="ListParagraph"/>
              <w:numPr>
                <w:ilvl w:val="0"/>
                <w:numId w:val="14"/>
              </w:numPr>
            </w:pPr>
            <w:r w:rsidRPr="003071F7">
              <w:t>Provide targeted support to challenge non-academic barriers such as attendance, behaviour and mental health needs.</w:t>
            </w:r>
          </w:p>
          <w:p w14:paraId="2A7D54E9" w14:textId="7ED907CB" w:rsidR="00124F52" w:rsidRPr="003071F7" w:rsidRDefault="00124F52" w:rsidP="00A969C3">
            <w:pPr>
              <w:pStyle w:val="ListParagraph"/>
              <w:numPr>
                <w:ilvl w:val="0"/>
                <w:numId w:val="14"/>
              </w:numPr>
            </w:pPr>
            <w:r w:rsidRPr="003071F7">
              <w:t>Ensuring economic support is in place for the children and their families to ensure access to the wider curriculum.</w:t>
            </w:r>
          </w:p>
        </w:tc>
      </w:tr>
    </w:tbl>
    <w:p w14:paraId="2A7D54EB" w14:textId="77777777" w:rsidR="00E66558" w:rsidRPr="003071F7" w:rsidRDefault="009D71E8">
      <w:pPr>
        <w:pStyle w:val="Heading2"/>
        <w:spacing w:before="600"/>
        <w:rPr>
          <w:sz w:val="24"/>
          <w:szCs w:val="24"/>
        </w:rPr>
      </w:pPr>
      <w:r w:rsidRPr="003071F7">
        <w:rPr>
          <w:sz w:val="24"/>
          <w:szCs w:val="24"/>
        </w:rPr>
        <w:t>Challenges</w:t>
      </w:r>
    </w:p>
    <w:p w14:paraId="2A7D54EC" w14:textId="77777777" w:rsidR="00E66558" w:rsidRPr="003071F7" w:rsidRDefault="009D71E8" w:rsidP="00AA355B">
      <w:r w:rsidRPr="003071F7">
        <w:rPr>
          <w:bCs/>
        </w:rPr>
        <w:t>This details</w:t>
      </w:r>
      <w:r w:rsidRPr="003071F7">
        <w:t xml:space="preserve"> the key</w:t>
      </w:r>
      <w:r w:rsidRPr="003071F7">
        <w:rPr>
          <w:bCs/>
        </w:rPr>
        <w:t xml:space="preserve"> </w:t>
      </w:r>
      <w:r w:rsidRPr="003071F7">
        <w:t xml:space="preserve">challenges to </w:t>
      </w:r>
      <w:r w:rsidRPr="003071F7">
        <w:rPr>
          <w:bCs/>
        </w:rPr>
        <w:t>achievement that we have</w:t>
      </w:r>
      <w:r w:rsidRPr="003071F7">
        <w:t xml:space="preserve"> identified among </w:t>
      </w:r>
      <w:r w:rsidRPr="003071F7">
        <w:rPr>
          <w:bCs/>
        </w:rPr>
        <w:t>our</w:t>
      </w:r>
      <w:r w:rsidRPr="003071F7">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3071F7"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3071F7" w:rsidRDefault="009D71E8">
            <w:pPr>
              <w:pStyle w:val="TableHeader"/>
              <w:jc w:val="left"/>
            </w:pPr>
            <w:r w:rsidRPr="003071F7">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3071F7" w:rsidRDefault="009D71E8">
            <w:pPr>
              <w:pStyle w:val="TableHeader"/>
              <w:jc w:val="left"/>
            </w:pPr>
            <w:r w:rsidRPr="003071F7">
              <w:t xml:space="preserve">Detail of challenge </w:t>
            </w:r>
          </w:p>
        </w:tc>
      </w:tr>
      <w:tr w:rsidR="00E66558" w:rsidRPr="003071F7"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3071F7" w:rsidRDefault="009D71E8">
            <w:pPr>
              <w:pStyle w:val="TableRow"/>
            </w:pPr>
            <w:r w:rsidRPr="003071F7">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45DA876" w:rsidR="00E66558" w:rsidRPr="003071F7" w:rsidRDefault="00A969C3">
            <w:pPr>
              <w:pStyle w:val="TableRowCentered"/>
              <w:jc w:val="left"/>
              <w:rPr>
                <w:szCs w:val="24"/>
              </w:rPr>
            </w:pPr>
            <w:r w:rsidRPr="003071F7">
              <w:rPr>
                <w:color w:val="000000"/>
                <w:szCs w:val="24"/>
              </w:rPr>
              <w:t xml:space="preserve">Assessments, observations, and discussions with pupils indicate underdeveloped oral language skills and vocabulary These are evident </w:t>
            </w:r>
            <w:r w:rsidRPr="003071F7">
              <w:rPr>
                <w:color w:val="000000"/>
                <w:szCs w:val="24"/>
              </w:rPr>
              <w:lastRenderedPageBreak/>
              <w:t>from Reception through to KS2 and in general, are more prevalent among our disadvantaged pupils than their peers.</w:t>
            </w:r>
          </w:p>
        </w:tc>
      </w:tr>
      <w:tr w:rsidR="00E66558" w:rsidRPr="003071F7"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3071F7" w:rsidRDefault="009D71E8">
            <w:pPr>
              <w:pStyle w:val="TableRow"/>
            </w:pPr>
            <w:r w:rsidRPr="003071F7">
              <w:lastRenderedPageBreak/>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11D6997" w:rsidR="00E66558" w:rsidRPr="003071F7" w:rsidRDefault="00A969C3">
            <w:pPr>
              <w:pStyle w:val="TableRowCentered"/>
              <w:jc w:val="left"/>
              <w:rPr>
                <w:szCs w:val="24"/>
              </w:rPr>
            </w:pPr>
            <w:r w:rsidRPr="003071F7">
              <w:rPr>
                <w:szCs w:val="24"/>
              </w:rPr>
              <w:t>Attainment in Reading and phonics is below that of their peers particularly in Key Stage 1 and Year 5</w:t>
            </w:r>
            <w:r w:rsidR="005653DF" w:rsidRPr="003071F7">
              <w:rPr>
                <w:szCs w:val="24"/>
              </w:rPr>
              <w:t xml:space="preserve"> thus impacting their progress in writing.</w:t>
            </w:r>
          </w:p>
        </w:tc>
      </w:tr>
      <w:tr w:rsidR="00E66558" w:rsidRPr="003071F7"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3071F7" w:rsidRDefault="009D71E8">
            <w:pPr>
              <w:pStyle w:val="TableRow"/>
            </w:pPr>
            <w:r w:rsidRPr="003071F7">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42D2F415" w:rsidR="00E66558" w:rsidRPr="003071F7" w:rsidRDefault="005653DF">
            <w:pPr>
              <w:pStyle w:val="TableRowCentered"/>
              <w:jc w:val="left"/>
              <w:rPr>
                <w:szCs w:val="24"/>
              </w:rPr>
            </w:pPr>
            <w:r w:rsidRPr="003071F7">
              <w:rPr>
                <w:szCs w:val="24"/>
              </w:rPr>
              <w:t>Maths attainment of disadvantaged pupils in lower key stage 2 is below that of their peers.</w:t>
            </w:r>
          </w:p>
        </w:tc>
      </w:tr>
      <w:tr w:rsidR="00E66558" w:rsidRPr="003071F7"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3071F7" w:rsidRDefault="009D71E8">
            <w:pPr>
              <w:pStyle w:val="TableRow"/>
            </w:pPr>
            <w:r w:rsidRPr="003071F7">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4D961A06" w:rsidR="00E66558" w:rsidRPr="003071F7" w:rsidRDefault="005653DF">
            <w:pPr>
              <w:pStyle w:val="TableRowCentered"/>
              <w:jc w:val="left"/>
              <w:rPr>
                <w:iCs/>
                <w:szCs w:val="24"/>
              </w:rPr>
            </w:pPr>
            <w:r w:rsidRPr="003071F7">
              <w:rPr>
                <w:iCs/>
                <w:szCs w:val="24"/>
              </w:rPr>
              <w:t>Attendance of disadvantaged pupils (93.12%) is below that of their peers (whole school attendance 95.97%)</w:t>
            </w:r>
          </w:p>
        </w:tc>
      </w:tr>
    </w:tbl>
    <w:p w14:paraId="2A7D54FF" w14:textId="77777777" w:rsidR="00E66558" w:rsidRPr="003071F7" w:rsidRDefault="009D71E8">
      <w:pPr>
        <w:pStyle w:val="Heading2"/>
        <w:spacing w:before="600"/>
        <w:rPr>
          <w:sz w:val="24"/>
          <w:szCs w:val="24"/>
        </w:rPr>
      </w:pPr>
      <w:bookmarkStart w:id="18" w:name="_Toc443397160"/>
      <w:r w:rsidRPr="003071F7">
        <w:rPr>
          <w:sz w:val="24"/>
          <w:szCs w:val="24"/>
        </w:rPr>
        <w:t xml:space="preserve">Intended outcomes </w:t>
      </w:r>
    </w:p>
    <w:p w14:paraId="2A7D5500" w14:textId="77777777" w:rsidR="00E66558" w:rsidRPr="003071F7" w:rsidRDefault="009D71E8">
      <w:r w:rsidRPr="003071F7">
        <w:rPr>
          <w:color w:val="auto"/>
        </w:rPr>
        <w:t xml:space="preserve">This explains the outcomes we are aiming for </w:t>
      </w:r>
      <w:r w:rsidRPr="003071F7">
        <w:rPr>
          <w:b/>
          <w:bCs/>
          <w:color w:val="auto"/>
        </w:rPr>
        <w:t>by the end of our current strategy plan</w:t>
      </w:r>
      <w:r w:rsidRPr="003071F7">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3071F7"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3071F7" w:rsidRDefault="009D71E8">
            <w:pPr>
              <w:pStyle w:val="TableHeader"/>
              <w:jc w:val="left"/>
            </w:pPr>
            <w:r w:rsidRPr="003071F7">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3071F7" w:rsidRDefault="009D71E8">
            <w:pPr>
              <w:pStyle w:val="TableHeader"/>
              <w:jc w:val="left"/>
            </w:pPr>
            <w:r w:rsidRPr="003071F7">
              <w:t>Success criteria</w:t>
            </w:r>
          </w:p>
        </w:tc>
      </w:tr>
      <w:tr w:rsidR="00E66558" w:rsidRPr="003071F7"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6ACF7D4D" w:rsidR="00E66558" w:rsidRPr="003071F7" w:rsidRDefault="005653DF">
            <w:pPr>
              <w:pStyle w:val="TableRow"/>
            </w:pPr>
            <w:r w:rsidRPr="003071F7">
              <w:t>Improved oral language skills and vocabulary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345FC45B" w:rsidR="00E66558" w:rsidRPr="003071F7" w:rsidRDefault="005653DF">
            <w:pPr>
              <w:pStyle w:val="TableRowCentered"/>
              <w:jc w:val="left"/>
              <w:rPr>
                <w:szCs w:val="24"/>
              </w:rPr>
            </w:pPr>
            <w:r w:rsidRPr="003071F7">
              <w:rPr>
                <w:color w:val="000000"/>
                <w:szCs w:val="24"/>
              </w:rPr>
              <w:t>Assessments and observations indicate significantly improved oral language among disadvantaged pupils. This is evident when triangulated with other sources of evidence, including engagement in lessons, book scrutiny and ongoing formative assessment.</w:t>
            </w:r>
          </w:p>
        </w:tc>
      </w:tr>
      <w:tr w:rsidR="00E66558" w:rsidRPr="003071F7"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5F0FDB2F" w:rsidR="00E66558" w:rsidRPr="003071F7" w:rsidRDefault="005653DF">
            <w:pPr>
              <w:pStyle w:val="TableRow"/>
            </w:pPr>
            <w:r w:rsidRPr="003071F7">
              <w:t xml:space="preserve">Improved </w:t>
            </w:r>
            <w:r w:rsidR="00BD2E14" w:rsidRPr="003071F7">
              <w:t xml:space="preserve">attainment in Reading, Writing and Maths </w:t>
            </w:r>
            <w:r w:rsidRPr="003071F7">
              <w:t>for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74591741" w:rsidR="00E66558" w:rsidRPr="003071F7" w:rsidRDefault="005653DF">
            <w:pPr>
              <w:pStyle w:val="TableRowCentered"/>
              <w:jc w:val="left"/>
              <w:rPr>
                <w:szCs w:val="24"/>
              </w:rPr>
            </w:pPr>
            <w:r w:rsidRPr="003071F7">
              <w:rPr>
                <w:szCs w:val="24"/>
              </w:rPr>
              <w:t>KS2 reading outcomes for disadvantaged pupils are inline with their peers and national data.</w:t>
            </w:r>
          </w:p>
        </w:tc>
      </w:tr>
      <w:tr w:rsidR="00E66558" w:rsidRPr="003071F7"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01DAD" w14:textId="4534A636" w:rsidR="00BD2E14" w:rsidRPr="003071F7" w:rsidRDefault="00BD2E14" w:rsidP="00BD2E14">
            <w:pPr>
              <w:pStyle w:val="NoSpacing"/>
            </w:pPr>
            <w:r w:rsidRPr="003071F7">
              <w:t>To achieve and sustain improved attendance for all pupils, particularly our</w:t>
            </w:r>
          </w:p>
          <w:p w14:paraId="640F5F0C" w14:textId="77777777" w:rsidR="00BD2E14" w:rsidRPr="003071F7" w:rsidRDefault="00BD2E14" w:rsidP="00BD2E14">
            <w:pPr>
              <w:pStyle w:val="NoSpacing"/>
            </w:pPr>
            <w:r w:rsidRPr="003071F7">
              <w:t>disadvantaged pupils.</w:t>
            </w:r>
          </w:p>
          <w:p w14:paraId="2A7D550D" w14:textId="02F4261B" w:rsidR="00E66558" w:rsidRPr="003071F7"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1B2D8E95" w:rsidR="00E66558" w:rsidRPr="003071F7" w:rsidRDefault="00BD2E14">
            <w:pPr>
              <w:pStyle w:val="TableRowCentered"/>
              <w:jc w:val="left"/>
              <w:rPr>
                <w:szCs w:val="24"/>
              </w:rPr>
            </w:pPr>
            <w:r w:rsidRPr="003071F7">
              <w:rPr>
                <w:szCs w:val="24"/>
              </w:rPr>
              <w:t>The attendance gap between disadvantaged and non-disadvantaged pupils is reduced and attendance overall continues to be above national.</w:t>
            </w:r>
          </w:p>
        </w:tc>
      </w:tr>
      <w:tr w:rsidR="00BD2E14" w:rsidRPr="003071F7" w14:paraId="3A4202B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E979D" w14:textId="2EE4B968" w:rsidR="00BD2E14" w:rsidRPr="003071F7" w:rsidRDefault="00BD2E14" w:rsidP="00BD2E14">
            <w:pPr>
              <w:pStyle w:val="NoSpacing"/>
            </w:pPr>
            <w:r w:rsidRPr="003071F7">
              <w:t>For children to be able to engage in peaceful problem solving</w:t>
            </w:r>
            <w:r w:rsidR="00A807AB" w:rsidRPr="003071F7">
              <w:t xml:space="preserve"> when dealing with fall outs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B3235" w14:textId="3598FE48" w:rsidR="00BD2E14" w:rsidRPr="003071F7" w:rsidRDefault="00A807AB">
            <w:pPr>
              <w:pStyle w:val="TableRowCentered"/>
              <w:jc w:val="left"/>
              <w:rPr>
                <w:szCs w:val="24"/>
              </w:rPr>
            </w:pPr>
            <w:r w:rsidRPr="003071F7">
              <w:rPr>
                <w:szCs w:val="24"/>
              </w:rPr>
              <w:t>Children are able to solve fallouts through restorative approaches and therefore lessen behaviour logs.</w:t>
            </w:r>
          </w:p>
        </w:tc>
      </w:tr>
    </w:tbl>
    <w:p w14:paraId="60BAD9F6" w14:textId="77777777" w:rsidR="00120AB1" w:rsidRPr="003071F7" w:rsidRDefault="00120AB1" w:rsidP="00ED5108"/>
    <w:p w14:paraId="2A06959E" w14:textId="2218981A" w:rsidR="00120AB1" w:rsidRPr="003071F7" w:rsidRDefault="00120AB1" w:rsidP="00BD4B12"/>
    <w:p w14:paraId="2A7D5512" w14:textId="7B489199" w:rsidR="00E66558" w:rsidRPr="003071F7" w:rsidRDefault="009D71E8">
      <w:pPr>
        <w:pStyle w:val="Heading2"/>
        <w:rPr>
          <w:sz w:val="24"/>
          <w:szCs w:val="24"/>
        </w:rPr>
      </w:pPr>
      <w:r w:rsidRPr="003071F7">
        <w:rPr>
          <w:sz w:val="24"/>
          <w:szCs w:val="24"/>
        </w:rPr>
        <w:t>Activity in this academic year</w:t>
      </w:r>
    </w:p>
    <w:p w14:paraId="2A7D5513" w14:textId="603E7BD1" w:rsidR="00E66558" w:rsidRPr="003071F7" w:rsidRDefault="009D71E8">
      <w:pPr>
        <w:spacing w:after="480"/>
      </w:pPr>
      <w:r w:rsidRPr="003071F7">
        <w:t>This details how we intend to spend our pupil premium (and recovery premium</w:t>
      </w:r>
      <w:r w:rsidR="00A112B5" w:rsidRPr="003071F7">
        <w:t>)</w:t>
      </w:r>
      <w:r w:rsidRPr="003071F7">
        <w:t xml:space="preserve"> funding </w:t>
      </w:r>
      <w:r w:rsidRPr="003071F7">
        <w:rPr>
          <w:b/>
          <w:bCs/>
        </w:rPr>
        <w:t>this academic year</w:t>
      </w:r>
      <w:r w:rsidRPr="003071F7">
        <w:t xml:space="preserve"> to address the challenges listed above.</w:t>
      </w:r>
    </w:p>
    <w:p w14:paraId="2A7D5514" w14:textId="77777777" w:rsidR="00E66558" w:rsidRPr="003071F7" w:rsidRDefault="009D71E8">
      <w:pPr>
        <w:pStyle w:val="Heading3"/>
        <w:rPr>
          <w:sz w:val="24"/>
          <w:szCs w:val="24"/>
        </w:rPr>
      </w:pPr>
      <w:r w:rsidRPr="003071F7">
        <w:rPr>
          <w:sz w:val="24"/>
          <w:szCs w:val="24"/>
        </w:rPr>
        <w:t>Teaching (for example, CPD, recruitment and retention)</w:t>
      </w:r>
    </w:p>
    <w:p w14:paraId="2A7D5515" w14:textId="4995C76A" w:rsidR="00E66558" w:rsidRPr="003071F7" w:rsidRDefault="009D71E8">
      <w:r w:rsidRPr="003071F7">
        <w:t>Budgeted cost: £</w:t>
      </w:r>
      <w:r w:rsidR="00137528">
        <w:t>5</w:t>
      </w:r>
      <w:r w:rsidR="003071F7">
        <w:t>,</w:t>
      </w:r>
      <w:r w:rsidR="00137528">
        <w:t>5</w:t>
      </w:r>
      <w:r w:rsidR="003071F7">
        <w:t>00</w:t>
      </w:r>
    </w:p>
    <w:tbl>
      <w:tblPr>
        <w:tblW w:w="5673" w:type="pct"/>
        <w:tblInd w:w="-431" w:type="dxa"/>
        <w:tblCellMar>
          <w:left w:w="10" w:type="dxa"/>
          <w:right w:w="10" w:type="dxa"/>
        </w:tblCellMar>
        <w:tblLook w:val="04A0" w:firstRow="1" w:lastRow="0" w:firstColumn="1" w:lastColumn="0" w:noHBand="0" w:noVBand="1"/>
      </w:tblPr>
      <w:tblGrid>
        <w:gridCol w:w="3261"/>
        <w:gridCol w:w="5860"/>
        <w:gridCol w:w="1642"/>
      </w:tblGrid>
      <w:tr w:rsidR="008B3675" w:rsidRPr="003071F7" w14:paraId="2A7D5519" w14:textId="77777777" w:rsidTr="008B3675">
        <w:tc>
          <w:tcPr>
            <w:tcW w:w="326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3071F7" w:rsidRDefault="009D71E8">
            <w:pPr>
              <w:pStyle w:val="TableHeader"/>
              <w:jc w:val="left"/>
            </w:pPr>
            <w:r w:rsidRPr="003071F7">
              <w:lastRenderedPageBreak/>
              <w:t>Activity</w:t>
            </w:r>
          </w:p>
        </w:tc>
        <w:tc>
          <w:tcPr>
            <w:tcW w:w="58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3071F7" w:rsidRDefault="009D71E8">
            <w:pPr>
              <w:pStyle w:val="TableHeader"/>
              <w:jc w:val="left"/>
            </w:pPr>
            <w:r w:rsidRPr="003071F7">
              <w:t>Evidence that supports this approach</w:t>
            </w:r>
          </w:p>
        </w:tc>
        <w:tc>
          <w:tcPr>
            <w:tcW w:w="164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3071F7" w:rsidRDefault="009D71E8">
            <w:pPr>
              <w:pStyle w:val="TableHeader"/>
              <w:jc w:val="left"/>
            </w:pPr>
            <w:r w:rsidRPr="003071F7">
              <w:t>Challenge number(s) addressed</w:t>
            </w:r>
          </w:p>
        </w:tc>
      </w:tr>
      <w:tr w:rsidR="006C2AE4" w:rsidRPr="003071F7" w14:paraId="2A7D551D" w14:textId="77777777" w:rsidTr="008B3675">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3AC99832" w:rsidR="00E66558" w:rsidRPr="003071F7" w:rsidRDefault="00A807AB">
            <w:pPr>
              <w:pStyle w:val="TableRow"/>
            </w:pPr>
            <w:r w:rsidRPr="003071F7">
              <w:t>To provide training for all teaching staff on the Talk 4 Writing process to ensure consistency in teaching across the year groups.</w:t>
            </w:r>
          </w:p>
        </w:tc>
        <w:tc>
          <w:tcPr>
            <w:tcW w:w="5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672AE" w14:textId="49B0D92C" w:rsidR="008D3784" w:rsidRDefault="008D3784">
            <w:pPr>
              <w:pStyle w:val="TableRowCentered"/>
              <w:jc w:val="left"/>
            </w:pPr>
            <w:r>
              <w:t>A consistent approach to writing.</w:t>
            </w:r>
          </w:p>
          <w:p w14:paraId="25966F66" w14:textId="77777777" w:rsidR="00E66558" w:rsidRDefault="00000000">
            <w:pPr>
              <w:pStyle w:val="TableRowCentered"/>
              <w:jc w:val="left"/>
            </w:pPr>
            <w:hyperlink r:id="rId11" w:history="1">
              <w:r w:rsidR="008D3784">
                <w:rPr>
                  <w:rStyle w:val="Hyperlink"/>
                </w:rPr>
                <w:t>Talk for Writing | EEF (educationendowmentfoundation.org.uk)</w:t>
              </w:r>
            </w:hyperlink>
          </w:p>
          <w:p w14:paraId="00BB1AF6" w14:textId="77777777" w:rsidR="008D3784" w:rsidRDefault="008D3784">
            <w:pPr>
              <w:pStyle w:val="TableRowCentered"/>
              <w:jc w:val="left"/>
              <w:rPr>
                <w:szCs w:val="24"/>
              </w:rPr>
            </w:pPr>
          </w:p>
          <w:p w14:paraId="2A7D551B" w14:textId="3306383A" w:rsidR="008D3784" w:rsidRPr="003071F7" w:rsidRDefault="008D3784">
            <w:pPr>
              <w:pStyle w:val="TableRowCentered"/>
              <w:jc w:val="left"/>
              <w:rPr>
                <w:szCs w:val="24"/>
              </w:rPr>
            </w:pPr>
            <w:r>
              <w:rPr>
                <w:szCs w:val="24"/>
              </w:rPr>
              <w:t>Some staff have been previously trained and some are new to it. Therefore to ensure consistency in approach all staff require retraining.</w:t>
            </w:r>
          </w:p>
        </w:tc>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21442A5" w:rsidR="00E66558" w:rsidRPr="003071F7" w:rsidRDefault="00F60A53">
            <w:pPr>
              <w:pStyle w:val="TableRowCentered"/>
              <w:jc w:val="left"/>
              <w:rPr>
                <w:szCs w:val="24"/>
              </w:rPr>
            </w:pPr>
            <w:r>
              <w:rPr>
                <w:szCs w:val="24"/>
              </w:rPr>
              <w:t>2</w:t>
            </w:r>
          </w:p>
        </w:tc>
      </w:tr>
      <w:tr w:rsidR="006C2AE4" w:rsidRPr="003071F7" w14:paraId="2A7D5521" w14:textId="77777777" w:rsidTr="008B3675">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73ABE862" w:rsidR="00E66558" w:rsidRPr="003071F7" w:rsidRDefault="00A807AB">
            <w:pPr>
              <w:pStyle w:val="TableRow"/>
              <w:rPr>
                <w:iCs/>
              </w:rPr>
            </w:pPr>
            <w:r w:rsidRPr="003071F7">
              <w:rPr>
                <w:iCs/>
              </w:rPr>
              <w:t>Identify and purchase a speech and language intervention programme particularly targeted at KS1</w:t>
            </w:r>
          </w:p>
        </w:tc>
        <w:tc>
          <w:tcPr>
            <w:tcW w:w="5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8C122" w14:textId="77777777" w:rsidR="001659E0" w:rsidRDefault="001659E0" w:rsidP="001659E0">
            <w:pPr>
              <w:pStyle w:val="NoSpacing"/>
            </w:pPr>
            <w:r>
              <w:t>It is important that spoken language activities are matched to learners’ current stage of development, so that it extends their learning and connects with the curriculum.</w:t>
            </w:r>
          </w:p>
          <w:p w14:paraId="2A7D551F" w14:textId="446B38E0" w:rsidR="00E66558" w:rsidRPr="003071F7" w:rsidRDefault="001659E0" w:rsidP="001659E0">
            <w:pPr>
              <w:pStyle w:val="NoSpacing"/>
            </w:pPr>
            <w:r>
              <w:t xml:space="preserve">Training can support adults to ensure they model and develop pupils’ oral language skills and vocabulary development. </w:t>
            </w:r>
          </w:p>
        </w:tc>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2662B74" w:rsidR="00E66558" w:rsidRPr="003071F7" w:rsidRDefault="00F60A53">
            <w:pPr>
              <w:pStyle w:val="TableRowCentered"/>
              <w:jc w:val="left"/>
              <w:rPr>
                <w:szCs w:val="24"/>
              </w:rPr>
            </w:pPr>
            <w:r>
              <w:rPr>
                <w:szCs w:val="24"/>
              </w:rPr>
              <w:t>1, 2</w:t>
            </w:r>
          </w:p>
        </w:tc>
      </w:tr>
      <w:tr w:rsidR="006C2AE4" w:rsidRPr="003071F7" w14:paraId="507EB0A0" w14:textId="77777777" w:rsidTr="008B3675">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4B07F" w14:textId="7ABFB7FD" w:rsidR="00A807AB" w:rsidRPr="003071F7" w:rsidRDefault="00A807AB">
            <w:pPr>
              <w:pStyle w:val="TableRow"/>
              <w:rPr>
                <w:iCs/>
              </w:rPr>
            </w:pPr>
            <w:r w:rsidRPr="003071F7">
              <w:rPr>
                <w:iCs/>
              </w:rPr>
              <w:t>To embed Read Write Inc phonics and use fast track tutoring to support those falling behind</w:t>
            </w:r>
            <w:r w:rsidR="003071F7">
              <w:rPr>
                <w:iCs/>
              </w:rPr>
              <w:t xml:space="preserve"> and supplement books to ensure there are enough for all children to access.</w:t>
            </w:r>
          </w:p>
        </w:tc>
        <w:tc>
          <w:tcPr>
            <w:tcW w:w="5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3CADB" w14:textId="5E514BF0" w:rsidR="00A807AB" w:rsidRPr="003071F7" w:rsidRDefault="00A807AB">
            <w:pPr>
              <w:pStyle w:val="TableRowCentered"/>
              <w:jc w:val="left"/>
              <w:rPr>
                <w:szCs w:val="24"/>
              </w:rPr>
            </w:pPr>
            <w:r w:rsidRPr="003071F7">
              <w:rPr>
                <w:color w:val="000000"/>
                <w:szCs w:val="24"/>
              </w:rPr>
              <w:t>Phonics approaches have a strong evidence base that indicates a positive impact on the accuracy of word reading (though not necessarily comprehension), particularly for disadvantaged pupils: Phonics | Toolkit Strand | Education Endowment Foundation | EEF</w:t>
            </w:r>
          </w:p>
        </w:tc>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A21C7" w14:textId="23E3C8FD" w:rsidR="00A807AB" w:rsidRPr="003071F7" w:rsidRDefault="00F60A53">
            <w:pPr>
              <w:pStyle w:val="TableRowCentered"/>
              <w:jc w:val="left"/>
              <w:rPr>
                <w:szCs w:val="24"/>
              </w:rPr>
            </w:pPr>
            <w:r>
              <w:rPr>
                <w:szCs w:val="24"/>
              </w:rPr>
              <w:t>1,2</w:t>
            </w:r>
          </w:p>
        </w:tc>
      </w:tr>
      <w:tr w:rsidR="006C2AE4" w:rsidRPr="003071F7" w14:paraId="7F6BBA2A" w14:textId="77777777" w:rsidTr="008B3675">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6B37A" w14:textId="35ED22D9" w:rsidR="00A807AB" w:rsidRPr="003071F7" w:rsidRDefault="00A807AB" w:rsidP="00A807AB">
            <w:pPr>
              <w:pStyle w:val="NormalWeb"/>
              <w:rPr>
                <w:rFonts w:ascii="Arial" w:hAnsi="Arial" w:cs="Arial"/>
                <w:color w:val="000000"/>
              </w:rPr>
            </w:pPr>
            <w:r w:rsidRPr="003071F7">
              <w:rPr>
                <w:rFonts w:ascii="Arial" w:hAnsi="Arial" w:cs="Arial"/>
                <w:color w:val="000000"/>
              </w:rPr>
              <w:t>Purchase of standardised diagnostic assessments.</w:t>
            </w:r>
          </w:p>
          <w:p w14:paraId="01283463" w14:textId="56C2AEDE" w:rsidR="00A807AB" w:rsidRPr="003071F7" w:rsidRDefault="00A807AB" w:rsidP="00B53A75">
            <w:pPr>
              <w:pStyle w:val="NormalWeb"/>
              <w:rPr>
                <w:rFonts w:ascii="Arial" w:hAnsi="Arial" w:cs="Arial"/>
                <w:color w:val="000000"/>
              </w:rPr>
            </w:pPr>
            <w:r w:rsidRPr="003071F7">
              <w:rPr>
                <w:rFonts w:ascii="Arial" w:hAnsi="Arial" w:cs="Arial"/>
                <w:color w:val="000000"/>
              </w:rPr>
              <w:t>Training for staff to ensure assessments are interpreted and administered correctly.</w:t>
            </w:r>
          </w:p>
        </w:tc>
        <w:tc>
          <w:tcPr>
            <w:tcW w:w="5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7501" w14:textId="58D5C167" w:rsidR="00A807AB" w:rsidRPr="003071F7" w:rsidRDefault="00A807AB">
            <w:pPr>
              <w:pStyle w:val="TableRowCentered"/>
              <w:jc w:val="left"/>
              <w:rPr>
                <w:color w:val="000000"/>
                <w:szCs w:val="24"/>
              </w:rPr>
            </w:pPr>
            <w:r w:rsidRPr="003071F7">
              <w:rPr>
                <w:color w:val="000000"/>
                <w:szCs w:val="24"/>
              </w:rPr>
              <w:t xml:space="preserve">Standardised tests can provide reliable insights into the specific strengths and weaknesses of each pupil to help ensure they receive the correct additional support through interventions or teacher instruction: Standardised tests | Assessing and Monitoring Pupil Progress | Education Endowment Foundation | EEF </w:t>
            </w:r>
          </w:p>
        </w:tc>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BACA9" w14:textId="7CC7E452" w:rsidR="00A807AB" w:rsidRPr="003071F7" w:rsidRDefault="00F60A53">
            <w:pPr>
              <w:pStyle w:val="TableRowCentered"/>
              <w:jc w:val="left"/>
              <w:rPr>
                <w:szCs w:val="24"/>
              </w:rPr>
            </w:pPr>
            <w:r>
              <w:rPr>
                <w:szCs w:val="24"/>
              </w:rPr>
              <w:t>1,2,3</w:t>
            </w:r>
          </w:p>
        </w:tc>
      </w:tr>
      <w:tr w:rsidR="006C2AE4" w:rsidRPr="003071F7" w14:paraId="7201ED4D" w14:textId="77777777" w:rsidTr="008B3675">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F7CF7" w14:textId="4A111B22" w:rsidR="00B53A75" w:rsidRPr="003071F7" w:rsidRDefault="00B53A75" w:rsidP="00B53A75">
            <w:pPr>
              <w:pStyle w:val="NoSpacing"/>
            </w:pPr>
            <w:r w:rsidRPr="003071F7">
              <w:t>Enhancement of our maths teaching and curriculum planning in line with DfE and</w:t>
            </w:r>
          </w:p>
          <w:p w14:paraId="6AA9D8B5" w14:textId="77777777" w:rsidR="00B53A75" w:rsidRPr="003071F7" w:rsidRDefault="00B53A75" w:rsidP="00B53A75">
            <w:pPr>
              <w:pStyle w:val="NoSpacing"/>
            </w:pPr>
            <w:r w:rsidRPr="003071F7">
              <w:t>EEF guidance.</w:t>
            </w:r>
          </w:p>
          <w:p w14:paraId="08BA9EC6" w14:textId="6071B679" w:rsidR="00B53A75" w:rsidRPr="001659E0" w:rsidRDefault="00B53A75" w:rsidP="00B53A75">
            <w:pPr>
              <w:pStyle w:val="NoSpacing"/>
            </w:pPr>
            <w:r w:rsidRPr="003071F7">
              <w:t>We will fund teacher release time to embed key elements of guidance in school and to access Maths Hub resources and CPD (including Teaching for Mastery training).</w:t>
            </w:r>
          </w:p>
        </w:tc>
        <w:tc>
          <w:tcPr>
            <w:tcW w:w="5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7CA5C" w14:textId="41A306AA" w:rsidR="001659E0" w:rsidRPr="006C2AE4" w:rsidRDefault="006C2AE4" w:rsidP="006C2AE4">
            <w:pPr>
              <w:pStyle w:val="NoSpacing"/>
              <w:rPr>
                <w:color w:val="000000"/>
                <w:sz w:val="22"/>
                <w:szCs w:val="22"/>
              </w:rPr>
            </w:pPr>
            <w:r w:rsidRPr="006C2AE4">
              <w:rPr>
                <w:sz w:val="22"/>
                <w:szCs w:val="22"/>
                <w:shd w:val="clear" w:color="auto" w:fill="FFFFFF"/>
              </w:rPr>
              <w:t>The focus is on improving the quality of teaching. Excellent maths teaching requires good content knowledge, but this is not sufficient. Excellent teachers also know the ways in which pupils learn mathematics and the difficulties they are likely to encounter, and how mathematics can be most effectively taught.</w:t>
            </w:r>
          </w:p>
          <w:p w14:paraId="74416951" w14:textId="77777777" w:rsidR="006C2AE4" w:rsidRDefault="006C2AE4">
            <w:pPr>
              <w:pStyle w:val="TableRowCentered"/>
              <w:jc w:val="left"/>
              <w:rPr>
                <w:color w:val="000000"/>
                <w:szCs w:val="24"/>
              </w:rPr>
            </w:pPr>
            <w:r>
              <w:rPr>
                <w:color w:val="000000"/>
                <w:szCs w:val="24"/>
              </w:rPr>
              <w:t>EEF: Improving Mathematics in the early years and key stage 1</w:t>
            </w:r>
          </w:p>
          <w:p w14:paraId="7A69BECF" w14:textId="5BA10765" w:rsidR="006C2AE4" w:rsidRPr="003071F7" w:rsidRDefault="006C2AE4">
            <w:pPr>
              <w:pStyle w:val="TableRowCentered"/>
              <w:jc w:val="left"/>
              <w:rPr>
                <w:color w:val="000000"/>
                <w:szCs w:val="24"/>
              </w:rPr>
            </w:pPr>
            <w:r>
              <w:rPr>
                <w:color w:val="000000"/>
                <w:szCs w:val="24"/>
              </w:rPr>
              <w:t>Improving mathematics at Key Stages 2 and 3</w:t>
            </w:r>
          </w:p>
        </w:tc>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A03D5" w14:textId="1B8F27A9" w:rsidR="00B53A75" w:rsidRPr="003071F7" w:rsidRDefault="00F60A53">
            <w:pPr>
              <w:pStyle w:val="TableRowCentered"/>
              <w:jc w:val="left"/>
              <w:rPr>
                <w:szCs w:val="24"/>
              </w:rPr>
            </w:pPr>
            <w:r>
              <w:rPr>
                <w:szCs w:val="24"/>
              </w:rPr>
              <w:t>3</w:t>
            </w:r>
          </w:p>
        </w:tc>
      </w:tr>
      <w:tr w:rsidR="002221D4" w:rsidRPr="003071F7" w14:paraId="77CE4FE0" w14:textId="77777777" w:rsidTr="008B3675">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3965D" w14:textId="487EC446" w:rsidR="002221D4" w:rsidRPr="003071F7" w:rsidRDefault="002221D4" w:rsidP="00B53A75">
            <w:pPr>
              <w:pStyle w:val="NoSpacing"/>
            </w:pPr>
            <w:r>
              <w:t>Embed the use of Pixl assessments across KS2</w:t>
            </w:r>
          </w:p>
        </w:tc>
        <w:tc>
          <w:tcPr>
            <w:tcW w:w="5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C4E39" w14:textId="71318AFD" w:rsidR="002221D4" w:rsidRPr="006C2AE4" w:rsidRDefault="002221D4" w:rsidP="006C2AE4">
            <w:pPr>
              <w:pStyle w:val="NoSpacing"/>
              <w:rPr>
                <w:sz w:val="22"/>
                <w:szCs w:val="22"/>
                <w:shd w:val="clear" w:color="auto" w:fill="FFFFFF"/>
              </w:rPr>
            </w:pPr>
            <w:r w:rsidRPr="003071F7">
              <w:rPr>
                <w:color w:val="000000"/>
              </w:rPr>
              <w:t>Standardised tests | Assessing and Monitoring Pupil Progress | Education Endowment Foundation | EEF</w:t>
            </w:r>
          </w:p>
        </w:tc>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18B6B" w14:textId="1BE82C32" w:rsidR="002221D4" w:rsidRDefault="002221D4">
            <w:pPr>
              <w:pStyle w:val="TableRowCentered"/>
              <w:jc w:val="left"/>
              <w:rPr>
                <w:szCs w:val="24"/>
              </w:rPr>
            </w:pPr>
            <w:r>
              <w:rPr>
                <w:szCs w:val="24"/>
              </w:rPr>
              <w:t>3</w:t>
            </w:r>
          </w:p>
        </w:tc>
      </w:tr>
    </w:tbl>
    <w:p w14:paraId="2A7D5522" w14:textId="77777777" w:rsidR="00E66558" w:rsidRPr="003071F7" w:rsidRDefault="00E66558" w:rsidP="00ED5108"/>
    <w:p w14:paraId="2A7D5523" w14:textId="5B2BE35F" w:rsidR="00E66558" w:rsidRPr="003071F7" w:rsidRDefault="009D71E8" w:rsidP="00AA355B">
      <w:pPr>
        <w:pStyle w:val="Heading3"/>
        <w:rPr>
          <w:sz w:val="24"/>
          <w:szCs w:val="24"/>
        </w:rPr>
      </w:pPr>
      <w:r w:rsidRPr="003071F7">
        <w:rPr>
          <w:sz w:val="24"/>
          <w:szCs w:val="24"/>
        </w:rPr>
        <w:lastRenderedPageBreak/>
        <w:t xml:space="preserve">Targeted academic support (for example, </w:t>
      </w:r>
      <w:r w:rsidR="00D33FE5" w:rsidRPr="003071F7">
        <w:rPr>
          <w:sz w:val="24"/>
          <w:szCs w:val="24"/>
        </w:rPr>
        <w:t>tutoring, one-to-one support</w:t>
      </w:r>
      <w:r w:rsidR="00F776E1" w:rsidRPr="003071F7">
        <w:rPr>
          <w:sz w:val="24"/>
          <w:szCs w:val="24"/>
        </w:rPr>
        <w:t>,</w:t>
      </w:r>
      <w:r w:rsidR="00D33FE5" w:rsidRPr="003071F7">
        <w:rPr>
          <w:sz w:val="24"/>
          <w:szCs w:val="24"/>
        </w:rPr>
        <w:t xml:space="preserve"> </w:t>
      </w:r>
      <w:r w:rsidRPr="003071F7">
        <w:rPr>
          <w:sz w:val="24"/>
          <w:szCs w:val="24"/>
        </w:rPr>
        <w:t xml:space="preserve">structured interventions) </w:t>
      </w:r>
    </w:p>
    <w:p w14:paraId="2A7D5524" w14:textId="5A4F911B" w:rsidR="00E66558" w:rsidRPr="003071F7" w:rsidRDefault="009D71E8">
      <w:r w:rsidRPr="003071F7">
        <w:t xml:space="preserve">Budgeted cost: £ </w:t>
      </w:r>
      <w:r w:rsidR="00137528">
        <w:rPr>
          <w:i/>
          <w:iCs/>
        </w:rPr>
        <w:t>35</w:t>
      </w:r>
      <w:r w:rsidR="003071F7">
        <w:rPr>
          <w:i/>
          <w:iCs/>
        </w:rPr>
        <w:t>00</w:t>
      </w:r>
    </w:p>
    <w:tbl>
      <w:tblPr>
        <w:tblW w:w="5679" w:type="pct"/>
        <w:tblInd w:w="-431" w:type="dxa"/>
        <w:tblCellMar>
          <w:left w:w="10" w:type="dxa"/>
          <w:right w:w="10" w:type="dxa"/>
        </w:tblCellMar>
        <w:tblLook w:val="04A0" w:firstRow="1" w:lastRow="0" w:firstColumn="1" w:lastColumn="0" w:noHBand="0" w:noVBand="1"/>
      </w:tblPr>
      <w:tblGrid>
        <w:gridCol w:w="3120"/>
        <w:gridCol w:w="5670"/>
        <w:gridCol w:w="1984"/>
      </w:tblGrid>
      <w:tr w:rsidR="00E66558" w:rsidRPr="003071F7" w14:paraId="2A7D5528" w14:textId="77777777" w:rsidTr="00723D87">
        <w:tc>
          <w:tcPr>
            <w:tcW w:w="312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3071F7" w:rsidRDefault="009D71E8">
            <w:pPr>
              <w:pStyle w:val="TableHeader"/>
              <w:jc w:val="left"/>
            </w:pPr>
            <w:r w:rsidRPr="003071F7">
              <w:t>Activity</w:t>
            </w:r>
          </w:p>
        </w:tc>
        <w:tc>
          <w:tcPr>
            <w:tcW w:w="56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3071F7" w:rsidRDefault="009D71E8">
            <w:pPr>
              <w:pStyle w:val="TableHeader"/>
              <w:jc w:val="left"/>
            </w:pPr>
            <w:r w:rsidRPr="003071F7">
              <w:t>Evidence that supports this approach</w:t>
            </w:r>
          </w:p>
        </w:tc>
        <w:tc>
          <w:tcPr>
            <w:tcW w:w="198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3071F7" w:rsidRDefault="009D71E8">
            <w:pPr>
              <w:pStyle w:val="TableHeader"/>
              <w:jc w:val="left"/>
            </w:pPr>
            <w:r w:rsidRPr="003071F7">
              <w:t>Challenge number(s) addressed</w:t>
            </w:r>
          </w:p>
        </w:tc>
      </w:tr>
      <w:tr w:rsidR="00723D87" w:rsidRPr="003071F7" w14:paraId="2A7D552C" w14:textId="77777777" w:rsidTr="00723D87">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19B22480" w:rsidR="00723D87" w:rsidRPr="003071F7" w:rsidRDefault="00723D87">
            <w:pPr>
              <w:pStyle w:val="TableRow"/>
            </w:pPr>
            <w:r w:rsidRPr="003071F7">
              <w:rPr>
                <w:i/>
                <w:iCs/>
              </w:rPr>
              <w:t>Small group work for Maths and Reading using Pixl therapies.</w:t>
            </w:r>
          </w:p>
        </w:tc>
        <w:tc>
          <w:tcPr>
            <w:tcW w:w="567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02CEF86" w14:textId="30CC3E74" w:rsidR="00723D87" w:rsidRDefault="00723D87">
            <w:pPr>
              <w:pStyle w:val="TableRowCentered"/>
              <w:jc w:val="left"/>
              <w:rPr>
                <w:szCs w:val="24"/>
              </w:rPr>
            </w:pPr>
            <w:r>
              <w:rPr>
                <w:szCs w:val="24"/>
              </w:rPr>
              <w:t>Support targeted at specific needs and knowledge gaps can be effective method to support low attaining pupils or those falling behind.</w:t>
            </w:r>
          </w:p>
          <w:p w14:paraId="005A4896" w14:textId="77777777" w:rsidR="00723D87" w:rsidRDefault="00723D87" w:rsidP="00723D87">
            <w:pPr>
              <w:pStyle w:val="TableRowCentered"/>
              <w:jc w:val="left"/>
              <w:rPr>
                <w:szCs w:val="24"/>
              </w:rPr>
            </w:pPr>
          </w:p>
          <w:p w14:paraId="2A7D552A" w14:textId="3958023A" w:rsidR="00723D87" w:rsidRPr="003071F7" w:rsidRDefault="00723D87" w:rsidP="00723D87">
            <w:pPr>
              <w:pStyle w:val="TableRowCentered"/>
              <w:jc w:val="left"/>
              <w:rPr>
                <w:szCs w:val="24"/>
              </w:rPr>
            </w:pPr>
            <w:r>
              <w:rPr>
                <w:szCs w:val="24"/>
              </w:rPr>
              <w:t>EEF: Small group tuition/ Toolkit strand</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935ABB7" w:rsidR="00723D87" w:rsidRPr="003071F7" w:rsidRDefault="00F60A53">
            <w:pPr>
              <w:pStyle w:val="TableRowCentered"/>
              <w:jc w:val="left"/>
              <w:rPr>
                <w:szCs w:val="24"/>
              </w:rPr>
            </w:pPr>
            <w:r>
              <w:rPr>
                <w:szCs w:val="24"/>
              </w:rPr>
              <w:t>2,3</w:t>
            </w:r>
          </w:p>
        </w:tc>
      </w:tr>
      <w:tr w:rsidR="00723D87" w:rsidRPr="003071F7" w14:paraId="2A7D5530" w14:textId="77777777" w:rsidTr="00723D87">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05F34985" w:rsidR="00723D87" w:rsidRPr="003071F7" w:rsidRDefault="00723D87">
            <w:pPr>
              <w:pStyle w:val="TableRow"/>
              <w:rPr>
                <w:i/>
              </w:rPr>
            </w:pPr>
            <w:r w:rsidRPr="003071F7">
              <w:rPr>
                <w:i/>
              </w:rPr>
              <w:t>1:1 Fast track tutoring for RWI identified pupils.</w:t>
            </w:r>
          </w:p>
        </w:tc>
        <w:tc>
          <w:tcPr>
            <w:tcW w:w="567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77777777" w:rsidR="00723D87" w:rsidRPr="003071F7" w:rsidRDefault="00723D87">
            <w:pPr>
              <w:pStyle w:val="TableRowCentered"/>
              <w:jc w:val="left"/>
              <w:rPr>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7777777" w:rsidR="00723D87" w:rsidRPr="003071F7" w:rsidRDefault="00723D87">
            <w:pPr>
              <w:pStyle w:val="TableRowCentered"/>
              <w:jc w:val="left"/>
              <w:rPr>
                <w:szCs w:val="24"/>
              </w:rPr>
            </w:pPr>
          </w:p>
        </w:tc>
      </w:tr>
      <w:tr w:rsidR="00B53A75" w:rsidRPr="003071F7" w14:paraId="37C5A9FA" w14:textId="77777777" w:rsidTr="00723D87">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4B5F0" w14:textId="616E98DD" w:rsidR="00B53A75" w:rsidRPr="003071F7" w:rsidRDefault="00B53A75">
            <w:pPr>
              <w:pStyle w:val="TableRow"/>
              <w:rPr>
                <w:i/>
              </w:rPr>
            </w:pPr>
            <w:r w:rsidRPr="003071F7">
              <w:rPr>
                <w:i/>
              </w:rPr>
              <w:t>1:1 or small group speech and language interventions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469DD" w14:textId="426858A8" w:rsidR="00B53A75" w:rsidRPr="003071F7" w:rsidRDefault="00723D87">
            <w:pPr>
              <w:pStyle w:val="TableRowCentered"/>
              <w:jc w:val="left"/>
              <w:rPr>
                <w:szCs w:val="24"/>
              </w:rPr>
            </w:pPr>
            <w:r>
              <w:rPr>
                <w:szCs w:val="24"/>
              </w:rPr>
              <w:t>EEF research shows that this has a positive impact on oral language skills and reading comprehension.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E2D8A" w14:textId="1B0983AB" w:rsidR="00B53A75" w:rsidRPr="003071F7" w:rsidRDefault="00F60A53">
            <w:pPr>
              <w:pStyle w:val="TableRowCentered"/>
              <w:jc w:val="left"/>
              <w:rPr>
                <w:szCs w:val="24"/>
              </w:rPr>
            </w:pPr>
            <w:r>
              <w:rPr>
                <w:szCs w:val="24"/>
              </w:rPr>
              <w:t>1</w:t>
            </w:r>
          </w:p>
        </w:tc>
      </w:tr>
    </w:tbl>
    <w:p w14:paraId="2A7D5531" w14:textId="77777777" w:rsidR="00E66558" w:rsidRPr="003071F7" w:rsidRDefault="00E66558" w:rsidP="00AA355B"/>
    <w:p w14:paraId="2A7D5532" w14:textId="59A68BC3" w:rsidR="00E66558" w:rsidRPr="003071F7" w:rsidRDefault="009D71E8" w:rsidP="00AA355B">
      <w:pPr>
        <w:pStyle w:val="Heading3"/>
        <w:rPr>
          <w:sz w:val="24"/>
          <w:szCs w:val="24"/>
        </w:rPr>
      </w:pPr>
      <w:r w:rsidRPr="003071F7">
        <w:rPr>
          <w:sz w:val="24"/>
          <w:szCs w:val="24"/>
        </w:rPr>
        <w:t>Wider strategies (for example, related to attendance, behaviour, wellbeing)</w:t>
      </w:r>
    </w:p>
    <w:p w14:paraId="2A7D5533" w14:textId="3B24E6E9" w:rsidR="00E66558" w:rsidRPr="003071F7" w:rsidRDefault="009D71E8">
      <w:pPr>
        <w:spacing w:before="240" w:after="120"/>
      </w:pPr>
      <w:r w:rsidRPr="003071F7">
        <w:t xml:space="preserve">Budgeted cost: £ </w:t>
      </w:r>
      <w:r w:rsidR="00AD628D">
        <w:rPr>
          <w:i/>
          <w:iCs/>
        </w:rPr>
        <w:t>4</w:t>
      </w:r>
      <w:r w:rsidR="00137528">
        <w:rPr>
          <w:i/>
          <w:iCs/>
        </w:rPr>
        <w:t>640</w:t>
      </w:r>
    </w:p>
    <w:tbl>
      <w:tblPr>
        <w:tblW w:w="5679" w:type="pct"/>
        <w:tblInd w:w="-431" w:type="dxa"/>
        <w:tblCellMar>
          <w:left w:w="10" w:type="dxa"/>
          <w:right w:w="10" w:type="dxa"/>
        </w:tblCellMar>
        <w:tblLook w:val="04A0" w:firstRow="1" w:lastRow="0" w:firstColumn="1" w:lastColumn="0" w:noHBand="0" w:noVBand="1"/>
      </w:tblPr>
      <w:tblGrid>
        <w:gridCol w:w="3119"/>
        <w:gridCol w:w="5954"/>
        <w:gridCol w:w="1701"/>
      </w:tblGrid>
      <w:tr w:rsidR="00E66558" w:rsidRPr="003071F7" w14:paraId="2A7D5537" w14:textId="77777777" w:rsidTr="006C2AE4">
        <w:tc>
          <w:tcPr>
            <w:tcW w:w="311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3071F7" w:rsidRDefault="009D71E8">
            <w:pPr>
              <w:pStyle w:val="TableHeader"/>
              <w:jc w:val="left"/>
            </w:pPr>
            <w:r w:rsidRPr="003071F7">
              <w:t>Activity</w:t>
            </w:r>
          </w:p>
        </w:tc>
        <w:tc>
          <w:tcPr>
            <w:tcW w:w="59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3071F7" w:rsidRDefault="009D71E8">
            <w:pPr>
              <w:pStyle w:val="TableHeader"/>
              <w:jc w:val="left"/>
            </w:pPr>
            <w:r w:rsidRPr="003071F7">
              <w:t>Evidence that supports this approach</w:t>
            </w:r>
          </w:p>
        </w:tc>
        <w:tc>
          <w:tcPr>
            <w:tcW w:w="170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3071F7" w:rsidRDefault="009D71E8">
            <w:pPr>
              <w:pStyle w:val="TableHeader"/>
              <w:jc w:val="left"/>
            </w:pPr>
            <w:r w:rsidRPr="003071F7">
              <w:t>Challenge number(s) addressed</w:t>
            </w:r>
          </w:p>
        </w:tc>
      </w:tr>
      <w:tr w:rsidR="00E66558" w:rsidRPr="003071F7" w14:paraId="2A7D553B" w14:textId="77777777" w:rsidTr="006C2AE4">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0C2F32C2" w:rsidR="00E66558" w:rsidRPr="003071F7" w:rsidRDefault="00B53A75">
            <w:pPr>
              <w:pStyle w:val="TableRow"/>
            </w:pPr>
            <w:r w:rsidRPr="003071F7">
              <w:t>1:1 or small group support sessions through PSA, and Play therapy.</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12A9308D" w:rsidR="00E66558" w:rsidRPr="003071F7" w:rsidRDefault="00E12B76">
            <w:pPr>
              <w:pStyle w:val="TableRowCentered"/>
              <w:jc w:val="left"/>
              <w:rPr>
                <w:szCs w:val="24"/>
              </w:rPr>
            </w:pPr>
            <w:r>
              <w:rPr>
                <w:szCs w:val="24"/>
              </w:rPr>
              <w:t>EEF – Improving Behaviours in school.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44AF10DA" w:rsidR="00E66558" w:rsidRPr="003071F7" w:rsidRDefault="00E66558">
            <w:pPr>
              <w:pStyle w:val="TableRowCentered"/>
              <w:jc w:val="left"/>
              <w:rPr>
                <w:szCs w:val="24"/>
              </w:rPr>
            </w:pPr>
          </w:p>
        </w:tc>
      </w:tr>
      <w:tr w:rsidR="00E66558" w:rsidRPr="003071F7" w14:paraId="2A7D553F" w14:textId="77777777" w:rsidTr="006C2AE4">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6E50E731" w:rsidR="00E66558" w:rsidRPr="003071F7" w:rsidRDefault="003071F7" w:rsidP="003071F7">
            <w:pPr>
              <w:pStyle w:val="NormalWeb"/>
              <w:rPr>
                <w:rFonts w:ascii="Arial" w:hAnsi="Arial" w:cs="Arial"/>
                <w:color w:val="000000"/>
              </w:rPr>
            </w:pPr>
            <w:r w:rsidRPr="003071F7">
              <w:rPr>
                <w:rFonts w:ascii="Arial" w:hAnsi="Arial" w:cs="Arial"/>
                <w:color w:val="000000"/>
              </w:rPr>
              <w:t>Embedding principles of good practice set out in the DfE’s</w:t>
            </w:r>
            <w:r w:rsidR="00F60A53">
              <w:rPr>
                <w:rFonts w:ascii="Arial" w:hAnsi="Arial" w:cs="Arial"/>
                <w:color w:val="000000"/>
              </w:rPr>
              <w:t xml:space="preserve"> </w:t>
            </w:r>
            <w:r w:rsidRPr="003071F7">
              <w:rPr>
                <w:rFonts w:ascii="Arial" w:hAnsi="Arial" w:cs="Arial"/>
                <w:color w:val="000000"/>
              </w:rPr>
              <w:t>Improving School Attendance advice.</w:t>
            </w:r>
            <w:r w:rsidR="00F60A53">
              <w:rPr>
                <w:rFonts w:ascii="Arial" w:hAnsi="Arial" w:cs="Arial"/>
                <w:color w:val="000000"/>
              </w:rPr>
              <w:t xml:space="preserve"> – Use of PSA time.</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2A347" w14:textId="77777777" w:rsidR="00723D87" w:rsidRDefault="00723D87" w:rsidP="00723D87">
            <w:pPr>
              <w:pStyle w:val="NoSpacing"/>
              <w:rPr>
                <w:color w:val="auto"/>
                <w:sz w:val="36"/>
                <w:szCs w:val="36"/>
              </w:rPr>
            </w:pPr>
            <w:r>
              <w:t>Understanding the use of Attendance &amp; Family Liaison Officers as a school level strategy to improve attendance</w:t>
            </w:r>
          </w:p>
          <w:p w14:paraId="2A7D553D" w14:textId="77777777" w:rsidR="00E66558" w:rsidRPr="003071F7" w:rsidRDefault="00E66558">
            <w:pPr>
              <w:pStyle w:val="TableRowCentered"/>
              <w:jc w:val="left"/>
              <w:rPr>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02C93CDD" w:rsidR="00E66558" w:rsidRPr="003071F7" w:rsidRDefault="00F60A53">
            <w:pPr>
              <w:pStyle w:val="TableRowCentered"/>
              <w:jc w:val="left"/>
              <w:rPr>
                <w:szCs w:val="24"/>
              </w:rPr>
            </w:pPr>
            <w:r>
              <w:rPr>
                <w:szCs w:val="24"/>
              </w:rPr>
              <w:t>4, 2,3</w:t>
            </w:r>
          </w:p>
        </w:tc>
      </w:tr>
      <w:tr w:rsidR="00B53A75" w:rsidRPr="003071F7" w14:paraId="516C4DF7" w14:textId="77777777" w:rsidTr="006C2AE4">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6A723" w14:textId="5CD6BFF0" w:rsidR="00B53A75" w:rsidRPr="003071F7" w:rsidRDefault="00B53A75">
            <w:pPr>
              <w:pStyle w:val="TableRow"/>
              <w:rPr>
                <w:rFonts w:cs="Arial"/>
                <w:iCs/>
              </w:rPr>
            </w:pPr>
            <w:r w:rsidRPr="003071F7">
              <w:rPr>
                <w:rFonts w:cs="Arial"/>
                <w:iCs/>
              </w:rPr>
              <w:t xml:space="preserve">Access to a range of </w:t>
            </w:r>
            <w:r w:rsidR="00F60A53">
              <w:rPr>
                <w:rFonts w:cs="Arial"/>
                <w:iCs/>
              </w:rPr>
              <w:t xml:space="preserve">before and </w:t>
            </w:r>
            <w:r w:rsidRPr="003071F7">
              <w:rPr>
                <w:rFonts w:cs="Arial"/>
                <w:iCs/>
              </w:rPr>
              <w:t>after school clubs based around children’s interests.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6D502" w14:textId="4AF51829" w:rsidR="00B53A75" w:rsidRPr="00F60A53" w:rsidRDefault="00F60A53">
            <w:pPr>
              <w:pStyle w:val="TableRowCentered"/>
              <w:jc w:val="left"/>
              <w:rPr>
                <w:sz w:val="22"/>
                <w:szCs w:val="22"/>
              </w:rPr>
            </w:pPr>
            <w:r w:rsidRPr="00F60A53">
              <w:rPr>
                <w:sz w:val="22"/>
                <w:szCs w:val="22"/>
              </w:rPr>
              <w:t xml:space="preserve">Breakfast provision </w:t>
            </w:r>
            <w:r w:rsidRPr="00F60A53">
              <w:rPr>
                <w:rFonts w:ascii="Roboto" w:hAnsi="Roboto"/>
                <w:color w:val="263238"/>
                <w:sz w:val="22"/>
                <w:szCs w:val="22"/>
                <w:shd w:val="clear" w:color="auto" w:fill="FFFFFF"/>
              </w:rPr>
              <w:t>Breakfast clubs that offer pupils in primary schools a free and nutritious meal before school can boost their reading, writing and maths results by the equivalent of two months’ progress over the course of a year, according to the results of a randomised controlled trial published by the Education Endowment Foundation (EEF).</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6B220" w14:textId="08941C9D" w:rsidR="00B53A75" w:rsidRPr="003071F7" w:rsidRDefault="00137528">
            <w:pPr>
              <w:pStyle w:val="TableRowCentered"/>
              <w:jc w:val="left"/>
              <w:rPr>
                <w:szCs w:val="24"/>
              </w:rPr>
            </w:pPr>
            <w:r>
              <w:rPr>
                <w:szCs w:val="24"/>
              </w:rPr>
              <w:t>2,3</w:t>
            </w:r>
          </w:p>
        </w:tc>
      </w:tr>
    </w:tbl>
    <w:p w14:paraId="2A7D5540" w14:textId="77777777" w:rsidR="00E66558" w:rsidRDefault="00E66558">
      <w:pPr>
        <w:spacing w:before="240" w:after="0"/>
        <w:rPr>
          <w:b/>
          <w:bCs/>
          <w:color w:val="104F75"/>
          <w:sz w:val="28"/>
          <w:szCs w:val="28"/>
        </w:rPr>
      </w:pPr>
    </w:p>
    <w:p w14:paraId="2A7D5541" w14:textId="0437F944" w:rsidR="00E66558" w:rsidRDefault="009D71E8" w:rsidP="00120AB1">
      <w:pPr>
        <w:rPr>
          <w:i/>
          <w:iCs/>
          <w:color w:val="104F75"/>
          <w:sz w:val="28"/>
          <w:szCs w:val="28"/>
        </w:rPr>
      </w:pPr>
      <w:r>
        <w:rPr>
          <w:b/>
          <w:bCs/>
          <w:color w:val="104F75"/>
          <w:sz w:val="28"/>
          <w:szCs w:val="28"/>
        </w:rPr>
        <w:t xml:space="preserve">Total budgeted cost: £ </w:t>
      </w:r>
      <w:r w:rsidR="00137528">
        <w:rPr>
          <w:b/>
          <w:bCs/>
          <w:color w:val="104F75"/>
          <w:sz w:val="28"/>
          <w:szCs w:val="28"/>
        </w:rPr>
        <w:t>13640</w:t>
      </w:r>
    </w:p>
    <w:p w14:paraId="3C18F015" w14:textId="77777777" w:rsidR="003071F7" w:rsidRDefault="003071F7" w:rsidP="00120AB1"/>
    <w:p w14:paraId="2A7D5542" w14:textId="18352EC3" w:rsidR="00E66558" w:rsidRPr="00064366" w:rsidRDefault="009D71E8" w:rsidP="00064366">
      <w:pPr>
        <w:pStyle w:val="Heading1"/>
      </w:pPr>
      <w:r w:rsidRPr="00064366">
        <w:lastRenderedPageBreak/>
        <w:t>Part B: Review of the previous academic year</w:t>
      </w:r>
    </w:p>
    <w:p w14:paraId="751285B7" w14:textId="377A2B70" w:rsidR="008B6404" w:rsidRDefault="00294C60" w:rsidP="00173D4C">
      <w:pPr>
        <w:pStyle w:val="Heading2"/>
      </w:pPr>
      <w:r w:rsidRPr="00294C60">
        <w:drawing>
          <wp:anchor distT="0" distB="0" distL="114300" distR="114300" simplePos="0" relativeHeight="251659264" behindDoc="0" locked="0" layoutInCell="1" allowOverlap="1" wp14:anchorId="47EEA314" wp14:editId="1F17E818">
            <wp:simplePos x="0" y="0"/>
            <wp:positionH relativeFrom="column">
              <wp:posOffset>-447040</wp:posOffset>
            </wp:positionH>
            <wp:positionV relativeFrom="paragraph">
              <wp:posOffset>541020</wp:posOffset>
            </wp:positionV>
            <wp:extent cx="7029450" cy="1625600"/>
            <wp:effectExtent l="0" t="0" r="0" b="0"/>
            <wp:wrapNone/>
            <wp:docPr id="9132190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21905" name="Picture 1" descr="A screenshot of a compute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029826" cy="1625687"/>
                    </a:xfrm>
                    <a:prstGeom prst="rect">
                      <a:avLst/>
                    </a:prstGeom>
                  </pic:spPr>
                </pic:pic>
              </a:graphicData>
            </a:graphic>
            <wp14:sizeRelH relativeFrom="page">
              <wp14:pctWidth>0</wp14:pctWidth>
            </wp14:sizeRelH>
            <wp14:sizeRelV relativeFrom="page">
              <wp14:pctHeight>0</wp14:pctHeight>
            </wp14:sizeRelV>
          </wp:anchor>
        </w:drawing>
      </w:r>
      <w:r w:rsidR="00064366" w:rsidRPr="00173D4C">
        <w:t>Outcomes for disadvantaged pupils</w:t>
      </w:r>
    </w:p>
    <w:p w14:paraId="1FCEB788" w14:textId="558A58B6" w:rsidR="00026C43" w:rsidRDefault="00026C43" w:rsidP="00026C43"/>
    <w:p w14:paraId="0250D7B6" w14:textId="5AB5D0C5" w:rsidR="00026C43" w:rsidRPr="00026C43" w:rsidRDefault="00026C43" w:rsidP="00026C43"/>
    <w:p w14:paraId="558C4A65" w14:textId="595A6EBD" w:rsidR="00B370AD" w:rsidRDefault="00B370AD" w:rsidP="00B370AD"/>
    <w:p w14:paraId="11B7DF58" w14:textId="77777777" w:rsidR="00B370AD" w:rsidRDefault="00B370AD" w:rsidP="00B370AD"/>
    <w:p w14:paraId="756F49E7" w14:textId="77777777" w:rsidR="00026C43" w:rsidRDefault="00026C43" w:rsidP="00B370AD"/>
    <w:p w14:paraId="1EA76E22" w14:textId="77777777" w:rsidR="00026C43" w:rsidRDefault="00026C43" w:rsidP="00B370AD"/>
    <w:tbl>
      <w:tblPr>
        <w:tblStyle w:val="TableGrid"/>
        <w:tblW w:w="9496" w:type="dxa"/>
        <w:tblInd w:w="227" w:type="dxa"/>
        <w:tblLayout w:type="fixed"/>
        <w:tblLook w:val="06A0" w:firstRow="1" w:lastRow="0" w:firstColumn="1" w:lastColumn="0" w:noHBand="1" w:noVBand="1"/>
      </w:tblPr>
      <w:tblGrid>
        <w:gridCol w:w="4748"/>
        <w:gridCol w:w="4748"/>
      </w:tblGrid>
      <w:tr w:rsidR="00B370AD" w14:paraId="38F3C499" w14:textId="77777777" w:rsidTr="00AD628D">
        <w:trPr>
          <w:trHeight w:val="300"/>
        </w:trPr>
        <w:tc>
          <w:tcPr>
            <w:tcW w:w="4748" w:type="dxa"/>
          </w:tcPr>
          <w:p w14:paraId="19147D24" w14:textId="77777777" w:rsidR="00B370AD" w:rsidRDefault="00B370AD" w:rsidP="00DD03F7">
            <w:pPr>
              <w:pStyle w:val="BodyText"/>
              <w:rPr>
                <w:color w:val="0D0D0D" w:themeColor="text1" w:themeTint="F2"/>
              </w:rPr>
            </w:pPr>
            <w:r w:rsidRPr="2F81D25C">
              <w:rPr>
                <w:color w:val="0D0D0D" w:themeColor="text1" w:themeTint="F2"/>
              </w:rPr>
              <w:t>Intended Outcome</w:t>
            </w:r>
          </w:p>
        </w:tc>
        <w:tc>
          <w:tcPr>
            <w:tcW w:w="4748" w:type="dxa"/>
          </w:tcPr>
          <w:p w14:paraId="42119E54" w14:textId="77777777" w:rsidR="00B370AD" w:rsidRDefault="00B370AD" w:rsidP="00DD03F7">
            <w:pPr>
              <w:pStyle w:val="BodyText"/>
              <w:rPr>
                <w:color w:val="0D0D0D" w:themeColor="text1" w:themeTint="F2"/>
              </w:rPr>
            </w:pPr>
            <w:r w:rsidRPr="2F81D25C">
              <w:rPr>
                <w:color w:val="0D0D0D" w:themeColor="text1" w:themeTint="F2"/>
              </w:rPr>
              <w:t>Outcome</w:t>
            </w:r>
          </w:p>
        </w:tc>
      </w:tr>
      <w:tr w:rsidR="00B370AD" w14:paraId="2DA6101A" w14:textId="77777777" w:rsidTr="00AD628D">
        <w:trPr>
          <w:trHeight w:val="300"/>
        </w:trPr>
        <w:tc>
          <w:tcPr>
            <w:tcW w:w="4748" w:type="dxa"/>
          </w:tcPr>
          <w:p w14:paraId="6A65372E" w14:textId="77777777" w:rsidR="00B370AD" w:rsidRDefault="00B370AD" w:rsidP="00DD03F7">
            <w:pPr>
              <w:pStyle w:val="BodyText"/>
              <w:rPr>
                <w:color w:val="0D0D0D" w:themeColor="text1" w:themeTint="F2"/>
              </w:rPr>
            </w:pPr>
            <w:r w:rsidRPr="2F81D25C">
              <w:rPr>
                <w:color w:val="0D0D0D" w:themeColor="text1" w:themeTint="F2"/>
              </w:rPr>
              <w:t>Sufficient support accelerates progress, including for new arrivals.</w:t>
            </w:r>
          </w:p>
        </w:tc>
        <w:tc>
          <w:tcPr>
            <w:tcW w:w="4748" w:type="dxa"/>
          </w:tcPr>
          <w:p w14:paraId="4802C756" w14:textId="77777777" w:rsidR="00B370AD" w:rsidRDefault="00B370AD" w:rsidP="00DD03F7">
            <w:pPr>
              <w:pStyle w:val="BodyText"/>
              <w:rPr>
                <w:color w:val="0D0D0D" w:themeColor="text1" w:themeTint="F2"/>
              </w:rPr>
            </w:pPr>
            <w:r w:rsidRPr="2F81D25C">
              <w:rPr>
                <w:color w:val="0D0D0D" w:themeColor="text1" w:themeTint="F2"/>
              </w:rPr>
              <w:t>Due to inconsistencies in teaching and changes of staff interventions were not delivered as consistently until end of spring term. A range were put in place including sensory, number stacks, pixl therapies.</w:t>
            </w:r>
          </w:p>
        </w:tc>
      </w:tr>
      <w:tr w:rsidR="00B370AD" w14:paraId="76F051B4" w14:textId="77777777" w:rsidTr="00AD628D">
        <w:trPr>
          <w:trHeight w:val="300"/>
        </w:trPr>
        <w:tc>
          <w:tcPr>
            <w:tcW w:w="4748" w:type="dxa"/>
          </w:tcPr>
          <w:p w14:paraId="56C47176" w14:textId="77777777" w:rsidR="00B370AD" w:rsidRDefault="00B370AD" w:rsidP="00DD03F7">
            <w:pPr>
              <w:pStyle w:val="BodyText"/>
              <w:rPr>
                <w:color w:val="0D0D0D" w:themeColor="text1" w:themeTint="F2"/>
              </w:rPr>
            </w:pPr>
            <w:r w:rsidRPr="2F81D25C">
              <w:rPr>
                <w:color w:val="0D0D0D" w:themeColor="text1" w:themeTint="F2"/>
              </w:rPr>
              <w:t>A clearly defined curriculum extends children’s language and vocabulary in all year groups and across all subjects</w:t>
            </w:r>
          </w:p>
        </w:tc>
        <w:tc>
          <w:tcPr>
            <w:tcW w:w="4748" w:type="dxa"/>
          </w:tcPr>
          <w:p w14:paraId="4941A8AA" w14:textId="77777777" w:rsidR="00B370AD" w:rsidRDefault="00B370AD" w:rsidP="00DD03F7">
            <w:pPr>
              <w:pStyle w:val="BodyText"/>
              <w:rPr>
                <w:color w:val="0D0D0D" w:themeColor="text1" w:themeTint="F2"/>
              </w:rPr>
            </w:pPr>
            <w:r w:rsidRPr="2F81D25C">
              <w:rPr>
                <w:color w:val="0D0D0D" w:themeColor="text1" w:themeTint="F2"/>
              </w:rPr>
              <w:t>Curriculum now clearly identifies the age appropriate vocabulary in all subjects. Monitoring demonstrates that some children are beginning to use this more in discussions and their work.</w:t>
            </w:r>
          </w:p>
        </w:tc>
      </w:tr>
      <w:tr w:rsidR="00B370AD" w14:paraId="6835F2A3" w14:textId="77777777" w:rsidTr="00AD628D">
        <w:trPr>
          <w:trHeight w:val="300"/>
        </w:trPr>
        <w:tc>
          <w:tcPr>
            <w:tcW w:w="4748" w:type="dxa"/>
          </w:tcPr>
          <w:p w14:paraId="7C7B5F52" w14:textId="77777777" w:rsidR="00B370AD" w:rsidRDefault="00B370AD" w:rsidP="00DD03F7">
            <w:pPr>
              <w:pStyle w:val="BodyText"/>
              <w:rPr>
                <w:color w:val="0D0D0D" w:themeColor="text1" w:themeTint="F2"/>
              </w:rPr>
            </w:pPr>
            <w:r w:rsidRPr="2F81D25C">
              <w:rPr>
                <w:color w:val="0D0D0D" w:themeColor="text1" w:themeTint="F2"/>
              </w:rPr>
              <w:t>Effective procedures identify and support children with speech, language and communication needs from an early stage.</w:t>
            </w:r>
          </w:p>
        </w:tc>
        <w:tc>
          <w:tcPr>
            <w:tcW w:w="4748" w:type="dxa"/>
          </w:tcPr>
          <w:p w14:paraId="2404D396" w14:textId="77777777" w:rsidR="00B370AD" w:rsidRDefault="00B370AD" w:rsidP="00DD03F7">
            <w:pPr>
              <w:pStyle w:val="BodyText"/>
              <w:rPr>
                <w:color w:val="0D0D0D" w:themeColor="text1" w:themeTint="F2"/>
              </w:rPr>
            </w:pPr>
            <w:r w:rsidRPr="2F81D25C">
              <w:rPr>
                <w:color w:val="0D0D0D" w:themeColor="text1" w:themeTint="F2"/>
              </w:rPr>
              <w:t>Children in Early years continue to enter school with poor communication skills and will continue to be a focus in the next plan.</w:t>
            </w:r>
          </w:p>
        </w:tc>
      </w:tr>
    </w:tbl>
    <w:p w14:paraId="2A7D5548" w14:textId="59F4EF63" w:rsidR="00E66558" w:rsidRDefault="00026C43" w:rsidP="00A82A98">
      <w:pPr>
        <w:pStyle w:val="Heading2"/>
      </w:pPr>
      <w:r>
        <w:t>E</w:t>
      </w:r>
      <w:r w:rsidR="009D71E8">
        <w:t>xternally provided 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0075F5A5" w:rsidR="00E66558" w:rsidRDefault="00B53A75">
            <w:pPr>
              <w:pStyle w:val="TableRow"/>
            </w:pPr>
            <w:r>
              <w:t>Pixl Primary – this supports in the testing of Key Stage 2 with the access of therapies to support plugging the gaps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2CBA3E82" w:rsidR="00E66558" w:rsidRDefault="00B53A75">
            <w:pPr>
              <w:pStyle w:val="TableRowCentered"/>
              <w:jc w:val="left"/>
            </w:pPr>
            <w:r>
              <w:t>Pixl</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248FD87E" w:rsidR="00E66558" w:rsidRPr="00AA355B"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tc>
      </w:tr>
      <w:bookmarkEnd w:id="16"/>
      <w:bookmarkEnd w:id="17"/>
      <w:bookmarkEnd w:id="18"/>
    </w:tbl>
    <w:p w14:paraId="2A7D5564" w14:textId="77777777" w:rsidR="00E66558" w:rsidRDefault="00E66558"/>
    <w:sectPr w:rsidR="00E66558">
      <w:headerReference w:type="default" r:id="rId13"/>
      <w:footerReference w:type="default" r:id="rId1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B120D" w14:textId="77777777" w:rsidR="007C056D" w:rsidRDefault="007C056D">
      <w:pPr>
        <w:spacing w:after="0" w:line="240" w:lineRule="auto"/>
      </w:pPr>
      <w:r>
        <w:separator/>
      </w:r>
    </w:p>
  </w:endnote>
  <w:endnote w:type="continuationSeparator" w:id="0">
    <w:p w14:paraId="2012584A" w14:textId="77777777" w:rsidR="007C056D" w:rsidRDefault="007C056D">
      <w:pPr>
        <w:spacing w:after="0" w:line="240" w:lineRule="auto"/>
      </w:pPr>
      <w:r>
        <w:continuationSeparator/>
      </w:r>
    </w:p>
  </w:endnote>
  <w:endnote w:type="continuationNotice" w:id="1">
    <w:p w14:paraId="61023C94" w14:textId="77777777" w:rsidR="007C056D" w:rsidRDefault="007C05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85673" w14:textId="77777777" w:rsidR="007C056D" w:rsidRDefault="007C056D">
      <w:pPr>
        <w:spacing w:after="0" w:line="240" w:lineRule="auto"/>
      </w:pPr>
      <w:r>
        <w:separator/>
      </w:r>
    </w:p>
  </w:footnote>
  <w:footnote w:type="continuationSeparator" w:id="0">
    <w:p w14:paraId="4F770CAA" w14:textId="77777777" w:rsidR="007C056D" w:rsidRDefault="007C056D">
      <w:pPr>
        <w:spacing w:after="0" w:line="240" w:lineRule="auto"/>
      </w:pPr>
      <w:r>
        <w:continuationSeparator/>
      </w:r>
    </w:p>
  </w:footnote>
  <w:footnote w:type="continuationNotice" w:id="1">
    <w:p w14:paraId="67655358" w14:textId="77777777" w:rsidR="007C056D" w:rsidRDefault="007C05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3801640"/>
    <w:multiLevelType w:val="hybridMultilevel"/>
    <w:tmpl w:val="96E41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3"/>
  </w:num>
  <w:num w:numId="2" w16cid:durableId="1628730595">
    <w:abstractNumId w:val="1"/>
  </w:num>
  <w:num w:numId="3" w16cid:durableId="497188144">
    <w:abstractNumId w:val="4"/>
  </w:num>
  <w:num w:numId="4" w16cid:durableId="1138914232">
    <w:abstractNumId w:val="5"/>
  </w:num>
  <w:num w:numId="5" w16cid:durableId="857932188">
    <w:abstractNumId w:val="0"/>
  </w:num>
  <w:num w:numId="6" w16cid:durableId="798501009">
    <w:abstractNumId w:val="6"/>
  </w:num>
  <w:num w:numId="7" w16cid:durableId="1210847263">
    <w:abstractNumId w:val="9"/>
  </w:num>
  <w:num w:numId="8" w16cid:durableId="982348153">
    <w:abstractNumId w:val="13"/>
  </w:num>
  <w:num w:numId="9" w16cid:durableId="1529290868">
    <w:abstractNumId w:val="11"/>
  </w:num>
  <w:num w:numId="10" w16cid:durableId="1171066271">
    <w:abstractNumId w:val="10"/>
  </w:num>
  <w:num w:numId="11" w16cid:durableId="1453552857">
    <w:abstractNumId w:val="2"/>
  </w:num>
  <w:num w:numId="12" w16cid:durableId="1812097430">
    <w:abstractNumId w:val="12"/>
  </w:num>
  <w:num w:numId="13" w16cid:durableId="42288650">
    <w:abstractNumId w:val="8"/>
  </w:num>
  <w:num w:numId="14" w16cid:durableId="8711165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26C43"/>
    <w:rsid w:val="000452EB"/>
    <w:rsid w:val="000463AE"/>
    <w:rsid w:val="000507A3"/>
    <w:rsid w:val="00060A62"/>
    <w:rsid w:val="00064366"/>
    <w:rsid w:val="00066B73"/>
    <w:rsid w:val="00071481"/>
    <w:rsid w:val="00075FAE"/>
    <w:rsid w:val="00082F38"/>
    <w:rsid w:val="0008384B"/>
    <w:rsid w:val="000929EC"/>
    <w:rsid w:val="00093CDE"/>
    <w:rsid w:val="000A6379"/>
    <w:rsid w:val="000D22B0"/>
    <w:rsid w:val="000D35C9"/>
    <w:rsid w:val="000D520C"/>
    <w:rsid w:val="000D6596"/>
    <w:rsid w:val="000E6DF0"/>
    <w:rsid w:val="001037CB"/>
    <w:rsid w:val="0010629E"/>
    <w:rsid w:val="00115538"/>
    <w:rsid w:val="00120AB1"/>
    <w:rsid w:val="00123A7F"/>
    <w:rsid w:val="00124F52"/>
    <w:rsid w:val="001278D0"/>
    <w:rsid w:val="00127F72"/>
    <w:rsid w:val="00137528"/>
    <w:rsid w:val="00140646"/>
    <w:rsid w:val="00147A4B"/>
    <w:rsid w:val="001659E0"/>
    <w:rsid w:val="001671ED"/>
    <w:rsid w:val="001727FA"/>
    <w:rsid w:val="00173D4C"/>
    <w:rsid w:val="00183218"/>
    <w:rsid w:val="00185988"/>
    <w:rsid w:val="001873B6"/>
    <w:rsid w:val="001901E6"/>
    <w:rsid w:val="00191305"/>
    <w:rsid w:val="00195B55"/>
    <w:rsid w:val="001A2FE8"/>
    <w:rsid w:val="001A33AC"/>
    <w:rsid w:val="001C1C51"/>
    <w:rsid w:val="001E0ECA"/>
    <w:rsid w:val="001E206F"/>
    <w:rsid w:val="001E5750"/>
    <w:rsid w:val="001E7739"/>
    <w:rsid w:val="001F3DB4"/>
    <w:rsid w:val="001F6935"/>
    <w:rsid w:val="00204F40"/>
    <w:rsid w:val="00205DEF"/>
    <w:rsid w:val="00216C8A"/>
    <w:rsid w:val="002221D4"/>
    <w:rsid w:val="00226317"/>
    <w:rsid w:val="00231539"/>
    <w:rsid w:val="002523E3"/>
    <w:rsid w:val="00255138"/>
    <w:rsid w:val="00266FA5"/>
    <w:rsid w:val="002920F4"/>
    <w:rsid w:val="002940F3"/>
    <w:rsid w:val="00294C60"/>
    <w:rsid w:val="00295842"/>
    <w:rsid w:val="002B3574"/>
    <w:rsid w:val="002B6B74"/>
    <w:rsid w:val="002C6AE7"/>
    <w:rsid w:val="002D2D4B"/>
    <w:rsid w:val="002D3805"/>
    <w:rsid w:val="002E66AE"/>
    <w:rsid w:val="002E7763"/>
    <w:rsid w:val="002F5842"/>
    <w:rsid w:val="002F7C21"/>
    <w:rsid w:val="00306CB7"/>
    <w:rsid w:val="003071F7"/>
    <w:rsid w:val="003111F5"/>
    <w:rsid w:val="00336200"/>
    <w:rsid w:val="00337418"/>
    <w:rsid w:val="00351D83"/>
    <w:rsid w:val="00353E46"/>
    <w:rsid w:val="003576C4"/>
    <w:rsid w:val="00366AB0"/>
    <w:rsid w:val="0037437C"/>
    <w:rsid w:val="0038146B"/>
    <w:rsid w:val="0038340F"/>
    <w:rsid w:val="00384457"/>
    <w:rsid w:val="00384F24"/>
    <w:rsid w:val="003A32B2"/>
    <w:rsid w:val="003A47DD"/>
    <w:rsid w:val="003A634F"/>
    <w:rsid w:val="003B588A"/>
    <w:rsid w:val="003B621D"/>
    <w:rsid w:val="003C4388"/>
    <w:rsid w:val="003C4C27"/>
    <w:rsid w:val="003C7F7B"/>
    <w:rsid w:val="003D2EAA"/>
    <w:rsid w:val="003E054C"/>
    <w:rsid w:val="003E27A0"/>
    <w:rsid w:val="003E3872"/>
    <w:rsid w:val="004044AA"/>
    <w:rsid w:val="004044C8"/>
    <w:rsid w:val="00404F3F"/>
    <w:rsid w:val="00410B5D"/>
    <w:rsid w:val="00413BEC"/>
    <w:rsid w:val="0042265E"/>
    <w:rsid w:val="00424ED7"/>
    <w:rsid w:val="00425258"/>
    <w:rsid w:val="00426217"/>
    <w:rsid w:val="00431A80"/>
    <w:rsid w:val="00435A89"/>
    <w:rsid w:val="00452267"/>
    <w:rsid w:val="00453307"/>
    <w:rsid w:val="0045424D"/>
    <w:rsid w:val="00457E36"/>
    <w:rsid w:val="00462F8F"/>
    <w:rsid w:val="00481D56"/>
    <w:rsid w:val="00490408"/>
    <w:rsid w:val="004A4C45"/>
    <w:rsid w:val="004B0485"/>
    <w:rsid w:val="004B428E"/>
    <w:rsid w:val="004B4D37"/>
    <w:rsid w:val="004C42F0"/>
    <w:rsid w:val="004E1D73"/>
    <w:rsid w:val="0051286E"/>
    <w:rsid w:val="00516021"/>
    <w:rsid w:val="00516457"/>
    <w:rsid w:val="00520A0C"/>
    <w:rsid w:val="00530E37"/>
    <w:rsid w:val="005464A1"/>
    <w:rsid w:val="00546F12"/>
    <w:rsid w:val="0055339C"/>
    <w:rsid w:val="00562B3C"/>
    <w:rsid w:val="00564E40"/>
    <w:rsid w:val="005653DF"/>
    <w:rsid w:val="0056751F"/>
    <w:rsid w:val="005750E2"/>
    <w:rsid w:val="0058313F"/>
    <w:rsid w:val="00585859"/>
    <w:rsid w:val="00586FBC"/>
    <w:rsid w:val="005879C9"/>
    <w:rsid w:val="005A3C6B"/>
    <w:rsid w:val="005B1EA5"/>
    <w:rsid w:val="005B3C06"/>
    <w:rsid w:val="005D7176"/>
    <w:rsid w:val="005E1F24"/>
    <w:rsid w:val="005E73F1"/>
    <w:rsid w:val="005F07EF"/>
    <w:rsid w:val="00600B2E"/>
    <w:rsid w:val="00607CEB"/>
    <w:rsid w:val="00613299"/>
    <w:rsid w:val="0061762D"/>
    <w:rsid w:val="00634238"/>
    <w:rsid w:val="00635FBC"/>
    <w:rsid w:val="00637728"/>
    <w:rsid w:val="0064113A"/>
    <w:rsid w:val="00644002"/>
    <w:rsid w:val="006458B1"/>
    <w:rsid w:val="00650529"/>
    <w:rsid w:val="00650BAB"/>
    <w:rsid w:val="006513A8"/>
    <w:rsid w:val="00651737"/>
    <w:rsid w:val="006671BF"/>
    <w:rsid w:val="00672A7D"/>
    <w:rsid w:val="00681416"/>
    <w:rsid w:val="006A06F5"/>
    <w:rsid w:val="006A0ED2"/>
    <w:rsid w:val="006B0A73"/>
    <w:rsid w:val="006B5A6B"/>
    <w:rsid w:val="006C0F82"/>
    <w:rsid w:val="006C2AE4"/>
    <w:rsid w:val="006C332E"/>
    <w:rsid w:val="006C5901"/>
    <w:rsid w:val="006D6372"/>
    <w:rsid w:val="006D6E5C"/>
    <w:rsid w:val="006E02AF"/>
    <w:rsid w:val="006E0786"/>
    <w:rsid w:val="006E6B4A"/>
    <w:rsid w:val="006E7449"/>
    <w:rsid w:val="006E7FB1"/>
    <w:rsid w:val="006F2604"/>
    <w:rsid w:val="006F5319"/>
    <w:rsid w:val="006F55FD"/>
    <w:rsid w:val="006F5D21"/>
    <w:rsid w:val="00711BE3"/>
    <w:rsid w:val="00723D87"/>
    <w:rsid w:val="00724FA7"/>
    <w:rsid w:val="00725415"/>
    <w:rsid w:val="00727505"/>
    <w:rsid w:val="00731581"/>
    <w:rsid w:val="00741B9E"/>
    <w:rsid w:val="00743DAC"/>
    <w:rsid w:val="0075337B"/>
    <w:rsid w:val="00755CD4"/>
    <w:rsid w:val="00757F96"/>
    <w:rsid w:val="00763E9C"/>
    <w:rsid w:val="00785285"/>
    <w:rsid w:val="0078529D"/>
    <w:rsid w:val="00787DC1"/>
    <w:rsid w:val="00794070"/>
    <w:rsid w:val="007A713B"/>
    <w:rsid w:val="007B64E5"/>
    <w:rsid w:val="007C056D"/>
    <w:rsid w:val="007C2F04"/>
    <w:rsid w:val="007F5B8B"/>
    <w:rsid w:val="00817E9A"/>
    <w:rsid w:val="00830D57"/>
    <w:rsid w:val="00860B07"/>
    <w:rsid w:val="008616F6"/>
    <w:rsid w:val="0086259C"/>
    <w:rsid w:val="00883F24"/>
    <w:rsid w:val="00897E1F"/>
    <w:rsid w:val="008B2CB4"/>
    <w:rsid w:val="008B3675"/>
    <w:rsid w:val="008B6404"/>
    <w:rsid w:val="008C2C21"/>
    <w:rsid w:val="008C7DD3"/>
    <w:rsid w:val="008D3784"/>
    <w:rsid w:val="008E000B"/>
    <w:rsid w:val="008E2926"/>
    <w:rsid w:val="008E35C6"/>
    <w:rsid w:val="008E3F49"/>
    <w:rsid w:val="008F243B"/>
    <w:rsid w:val="008F4675"/>
    <w:rsid w:val="00904A66"/>
    <w:rsid w:val="0092287F"/>
    <w:rsid w:val="0092495B"/>
    <w:rsid w:val="0092660E"/>
    <w:rsid w:val="00936519"/>
    <w:rsid w:val="00941DA3"/>
    <w:rsid w:val="00942C0C"/>
    <w:rsid w:val="009539E3"/>
    <w:rsid w:val="00954A5E"/>
    <w:rsid w:val="009551B2"/>
    <w:rsid w:val="00964625"/>
    <w:rsid w:val="00967072"/>
    <w:rsid w:val="00981C1D"/>
    <w:rsid w:val="0099109C"/>
    <w:rsid w:val="009936DB"/>
    <w:rsid w:val="00993CFC"/>
    <w:rsid w:val="009A1DC2"/>
    <w:rsid w:val="009C0914"/>
    <w:rsid w:val="009C27E5"/>
    <w:rsid w:val="009D71E8"/>
    <w:rsid w:val="009E104B"/>
    <w:rsid w:val="009E7DE4"/>
    <w:rsid w:val="009F3BBD"/>
    <w:rsid w:val="00A063DD"/>
    <w:rsid w:val="00A112B5"/>
    <w:rsid w:val="00A14EEA"/>
    <w:rsid w:val="00A222EA"/>
    <w:rsid w:val="00A44FBB"/>
    <w:rsid w:val="00A50104"/>
    <w:rsid w:val="00A522E0"/>
    <w:rsid w:val="00A63579"/>
    <w:rsid w:val="00A638AC"/>
    <w:rsid w:val="00A727E5"/>
    <w:rsid w:val="00A748B5"/>
    <w:rsid w:val="00A807AB"/>
    <w:rsid w:val="00A80A32"/>
    <w:rsid w:val="00A82A98"/>
    <w:rsid w:val="00A82D16"/>
    <w:rsid w:val="00A95F75"/>
    <w:rsid w:val="00A969C3"/>
    <w:rsid w:val="00A96B83"/>
    <w:rsid w:val="00A97621"/>
    <w:rsid w:val="00AA355B"/>
    <w:rsid w:val="00AA3C0F"/>
    <w:rsid w:val="00AA42E5"/>
    <w:rsid w:val="00AB24FA"/>
    <w:rsid w:val="00AD628D"/>
    <w:rsid w:val="00AD7B5A"/>
    <w:rsid w:val="00AE229F"/>
    <w:rsid w:val="00AF5E20"/>
    <w:rsid w:val="00B002FA"/>
    <w:rsid w:val="00B00327"/>
    <w:rsid w:val="00B024B3"/>
    <w:rsid w:val="00B11DE8"/>
    <w:rsid w:val="00B179ED"/>
    <w:rsid w:val="00B20E18"/>
    <w:rsid w:val="00B370AD"/>
    <w:rsid w:val="00B53A75"/>
    <w:rsid w:val="00B572C4"/>
    <w:rsid w:val="00B60858"/>
    <w:rsid w:val="00B74D4E"/>
    <w:rsid w:val="00B80219"/>
    <w:rsid w:val="00BA19A5"/>
    <w:rsid w:val="00BA4D9E"/>
    <w:rsid w:val="00BC67F6"/>
    <w:rsid w:val="00BC7382"/>
    <w:rsid w:val="00BD2004"/>
    <w:rsid w:val="00BD2E14"/>
    <w:rsid w:val="00BD4B12"/>
    <w:rsid w:val="00BE2F92"/>
    <w:rsid w:val="00BF0D5F"/>
    <w:rsid w:val="00C11EB4"/>
    <w:rsid w:val="00C12746"/>
    <w:rsid w:val="00C25827"/>
    <w:rsid w:val="00C31BB8"/>
    <w:rsid w:val="00C373EA"/>
    <w:rsid w:val="00C621C1"/>
    <w:rsid w:val="00C62989"/>
    <w:rsid w:val="00C65CBB"/>
    <w:rsid w:val="00C80F37"/>
    <w:rsid w:val="00C97A7F"/>
    <w:rsid w:val="00CB5B17"/>
    <w:rsid w:val="00CB6A09"/>
    <w:rsid w:val="00CC4443"/>
    <w:rsid w:val="00CC5CAF"/>
    <w:rsid w:val="00D06874"/>
    <w:rsid w:val="00D173F7"/>
    <w:rsid w:val="00D20203"/>
    <w:rsid w:val="00D204E0"/>
    <w:rsid w:val="00D21354"/>
    <w:rsid w:val="00D22400"/>
    <w:rsid w:val="00D278BA"/>
    <w:rsid w:val="00D33FE5"/>
    <w:rsid w:val="00D345E3"/>
    <w:rsid w:val="00D3578A"/>
    <w:rsid w:val="00D4463C"/>
    <w:rsid w:val="00D501EE"/>
    <w:rsid w:val="00D517DC"/>
    <w:rsid w:val="00D5590D"/>
    <w:rsid w:val="00D618E4"/>
    <w:rsid w:val="00D61DA5"/>
    <w:rsid w:val="00D875ED"/>
    <w:rsid w:val="00D877D0"/>
    <w:rsid w:val="00D90013"/>
    <w:rsid w:val="00D91B9C"/>
    <w:rsid w:val="00D92C1B"/>
    <w:rsid w:val="00D94CC7"/>
    <w:rsid w:val="00DA1AF4"/>
    <w:rsid w:val="00DB0C60"/>
    <w:rsid w:val="00DC641A"/>
    <w:rsid w:val="00DD6B7D"/>
    <w:rsid w:val="00DD6E14"/>
    <w:rsid w:val="00DE15AC"/>
    <w:rsid w:val="00E061EC"/>
    <w:rsid w:val="00E12B76"/>
    <w:rsid w:val="00E13E51"/>
    <w:rsid w:val="00E43EAD"/>
    <w:rsid w:val="00E62DCB"/>
    <w:rsid w:val="00E651DD"/>
    <w:rsid w:val="00E66558"/>
    <w:rsid w:val="00E70D81"/>
    <w:rsid w:val="00E726A6"/>
    <w:rsid w:val="00E86F05"/>
    <w:rsid w:val="00EA3A2A"/>
    <w:rsid w:val="00EB4556"/>
    <w:rsid w:val="00EB64C8"/>
    <w:rsid w:val="00ED5108"/>
    <w:rsid w:val="00F012CA"/>
    <w:rsid w:val="00F01752"/>
    <w:rsid w:val="00F0355A"/>
    <w:rsid w:val="00F24A7E"/>
    <w:rsid w:val="00F33DC0"/>
    <w:rsid w:val="00F60A53"/>
    <w:rsid w:val="00F62587"/>
    <w:rsid w:val="00F63E9E"/>
    <w:rsid w:val="00F76843"/>
    <w:rsid w:val="00F776E1"/>
    <w:rsid w:val="00F925EB"/>
    <w:rsid w:val="00FA6DD0"/>
    <w:rsid w:val="00FC28DF"/>
    <w:rsid w:val="00FE3136"/>
    <w:rsid w:val="00FE50A3"/>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5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2E14"/>
    <w:pPr>
      <w:suppressAutoHyphens w:val="0"/>
      <w:autoSpaceDN/>
      <w:spacing w:before="100" w:beforeAutospacing="1" w:after="100" w:afterAutospacing="1" w:line="240" w:lineRule="auto"/>
    </w:pPr>
    <w:rPr>
      <w:rFonts w:ascii="Times New Roman" w:hAnsi="Times New Roman"/>
      <w:color w:val="auto"/>
    </w:rPr>
  </w:style>
  <w:style w:type="paragraph" w:styleId="NoSpacing">
    <w:name w:val="No Spacing"/>
    <w:uiPriority w:val="1"/>
    <w:qFormat/>
    <w:rsid w:val="00BD2E14"/>
    <w:pPr>
      <w:suppressAutoHyphens/>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328870242">
      <w:bodyDiv w:val="1"/>
      <w:marLeft w:val="0"/>
      <w:marRight w:val="0"/>
      <w:marTop w:val="0"/>
      <w:marBottom w:val="0"/>
      <w:divBdr>
        <w:top w:val="none" w:sz="0" w:space="0" w:color="auto"/>
        <w:left w:val="none" w:sz="0" w:space="0" w:color="auto"/>
        <w:bottom w:val="none" w:sz="0" w:space="0" w:color="auto"/>
        <w:right w:val="none" w:sz="0" w:space="0" w:color="auto"/>
      </w:divBdr>
    </w:div>
    <w:div w:id="375855681">
      <w:bodyDiv w:val="1"/>
      <w:marLeft w:val="0"/>
      <w:marRight w:val="0"/>
      <w:marTop w:val="0"/>
      <w:marBottom w:val="0"/>
      <w:divBdr>
        <w:top w:val="none" w:sz="0" w:space="0" w:color="auto"/>
        <w:left w:val="none" w:sz="0" w:space="0" w:color="auto"/>
        <w:bottom w:val="none" w:sz="0" w:space="0" w:color="auto"/>
        <w:right w:val="none" w:sz="0" w:space="0" w:color="auto"/>
      </w:divBdr>
    </w:div>
    <w:div w:id="425736316">
      <w:bodyDiv w:val="1"/>
      <w:marLeft w:val="0"/>
      <w:marRight w:val="0"/>
      <w:marTop w:val="0"/>
      <w:marBottom w:val="0"/>
      <w:divBdr>
        <w:top w:val="none" w:sz="0" w:space="0" w:color="auto"/>
        <w:left w:val="none" w:sz="0" w:space="0" w:color="auto"/>
        <w:bottom w:val="none" w:sz="0" w:space="0" w:color="auto"/>
        <w:right w:val="none" w:sz="0" w:space="0" w:color="auto"/>
      </w:divBdr>
    </w:div>
    <w:div w:id="478231488">
      <w:bodyDiv w:val="1"/>
      <w:marLeft w:val="0"/>
      <w:marRight w:val="0"/>
      <w:marTop w:val="0"/>
      <w:marBottom w:val="0"/>
      <w:divBdr>
        <w:top w:val="none" w:sz="0" w:space="0" w:color="auto"/>
        <w:left w:val="none" w:sz="0" w:space="0" w:color="auto"/>
        <w:bottom w:val="none" w:sz="0" w:space="0" w:color="auto"/>
        <w:right w:val="none" w:sz="0" w:space="0" w:color="auto"/>
      </w:divBdr>
    </w:div>
    <w:div w:id="910039500">
      <w:bodyDiv w:val="1"/>
      <w:marLeft w:val="0"/>
      <w:marRight w:val="0"/>
      <w:marTop w:val="0"/>
      <w:marBottom w:val="0"/>
      <w:divBdr>
        <w:top w:val="none" w:sz="0" w:space="0" w:color="auto"/>
        <w:left w:val="none" w:sz="0" w:space="0" w:color="auto"/>
        <w:bottom w:val="none" w:sz="0" w:space="0" w:color="auto"/>
        <w:right w:val="none" w:sz="0" w:space="0" w:color="auto"/>
      </w:divBdr>
    </w:div>
    <w:div w:id="995954674">
      <w:bodyDiv w:val="1"/>
      <w:marLeft w:val="0"/>
      <w:marRight w:val="0"/>
      <w:marTop w:val="0"/>
      <w:marBottom w:val="0"/>
      <w:divBdr>
        <w:top w:val="none" w:sz="0" w:space="0" w:color="auto"/>
        <w:left w:val="none" w:sz="0" w:space="0" w:color="auto"/>
        <w:bottom w:val="none" w:sz="0" w:space="0" w:color="auto"/>
        <w:right w:val="none" w:sz="0" w:space="0" w:color="auto"/>
      </w:divBdr>
      <w:divsChild>
        <w:div w:id="612979139">
          <w:marLeft w:val="0"/>
          <w:marRight w:val="4497"/>
          <w:marTop w:val="0"/>
          <w:marBottom w:val="0"/>
          <w:divBdr>
            <w:top w:val="single" w:sz="2" w:space="0" w:color="EEEEEE"/>
            <w:left w:val="single" w:sz="2" w:space="0" w:color="EEEEEE"/>
            <w:bottom w:val="single" w:sz="2" w:space="0" w:color="EEEEEE"/>
            <w:right w:val="single" w:sz="2" w:space="0" w:color="EEEEEE"/>
          </w:divBdr>
          <w:divsChild>
            <w:div w:id="970524023">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76102207">
          <w:marLeft w:val="4497"/>
          <w:marRight w:val="4497"/>
          <w:marTop w:val="0"/>
          <w:marBottom w:val="0"/>
          <w:divBdr>
            <w:top w:val="single" w:sz="2" w:space="0" w:color="EEEEEE"/>
            <w:left w:val="single" w:sz="2" w:space="0" w:color="EEEEEE"/>
            <w:bottom w:val="single" w:sz="2" w:space="0" w:color="EEEEEE"/>
            <w:right w:val="single" w:sz="2" w:space="0" w:color="EEEEEE"/>
          </w:divBdr>
          <w:divsChild>
            <w:div w:id="1491019785">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187868898">
          <w:marLeft w:val="4497"/>
          <w:marRight w:val="4497"/>
          <w:marTop w:val="0"/>
          <w:marBottom w:val="0"/>
          <w:divBdr>
            <w:top w:val="single" w:sz="2" w:space="0" w:color="EEEEEE"/>
            <w:left w:val="single" w:sz="2" w:space="0" w:color="EEEEEE"/>
            <w:bottom w:val="single" w:sz="2" w:space="0" w:color="EEEEEE"/>
            <w:right w:val="single" w:sz="2" w:space="0" w:color="EEEEEE"/>
          </w:divBdr>
          <w:divsChild>
            <w:div w:id="74411221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160468408">
      <w:bodyDiv w:val="1"/>
      <w:marLeft w:val="0"/>
      <w:marRight w:val="0"/>
      <w:marTop w:val="0"/>
      <w:marBottom w:val="0"/>
      <w:divBdr>
        <w:top w:val="none" w:sz="0" w:space="0" w:color="auto"/>
        <w:left w:val="none" w:sz="0" w:space="0" w:color="auto"/>
        <w:bottom w:val="none" w:sz="0" w:space="0" w:color="auto"/>
        <w:right w:val="none" w:sz="0" w:space="0" w:color="auto"/>
      </w:divBdr>
    </w:div>
    <w:div w:id="1448936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upil-premiu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ducationendowmentfoundation.org.uk/guidance-for-teachers/using-pupil-premium"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projects-and-evaluation/projects/talk-for-writing?utm_source=/projects-and-evaluation/projects/talk-for-writing&amp;utm_medium=search&amp;utm_campaign=site_search&amp;search_term=writi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publications/pupil-premium" TargetMode="External"/><Relationship Id="rId4" Type="http://schemas.openxmlformats.org/officeDocument/2006/relationships/webSettings" Target="webSettings.xml"/><Relationship Id="rId9" Type="http://schemas.openxmlformats.org/officeDocument/2006/relationships/hyperlink" Target="https://educationendowmentfoundation.org.uk/guidance-for-teachers/using-pupil-premiu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1639</Words>
  <Characters>9346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Head Wimbotsham</cp:lastModifiedBy>
  <cp:revision>3</cp:revision>
  <cp:lastPrinted>2014-09-17T21:26:00Z</cp:lastPrinted>
  <dcterms:created xsi:type="dcterms:W3CDTF">2023-12-04T20:02:00Z</dcterms:created>
  <dcterms:modified xsi:type="dcterms:W3CDTF">2023-12-04T20:17:00Z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